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0C131916" w:rsidR="005B17D0" w:rsidRPr="00C3343E" w:rsidRDefault="00815664" w:rsidP="00C3343E">
      <w:pPr>
        <w:snapToGrid w:val="0"/>
        <w:rPr>
          <w:rFonts w:cs="Arial"/>
          <w:b/>
          <w:bCs/>
          <w:sz w:val="28"/>
          <w:szCs w:val="28"/>
        </w:rPr>
      </w:pPr>
      <w:r w:rsidRPr="00815664">
        <w:rPr>
          <w:rFonts w:cs="Arial"/>
          <w:b/>
          <w:bCs/>
          <w:sz w:val="28"/>
          <w:szCs w:val="28"/>
        </w:rPr>
        <w:t>3GPP TSG RAN WG</w:t>
      </w:r>
      <w:r w:rsidR="00477657">
        <w:rPr>
          <w:rFonts w:cs="Arial"/>
          <w:b/>
          <w:bCs/>
          <w:sz w:val="28"/>
          <w:szCs w:val="28"/>
        </w:rPr>
        <w:t>4</w:t>
      </w:r>
      <w:r w:rsidRPr="00815664">
        <w:rPr>
          <w:rFonts w:cs="Arial"/>
          <w:b/>
          <w:bCs/>
          <w:sz w:val="28"/>
          <w:szCs w:val="28"/>
        </w:rPr>
        <w:t xml:space="preserve"> #</w:t>
      </w:r>
      <w:r w:rsidR="00193D0A">
        <w:rPr>
          <w:rFonts w:cs="Arial"/>
          <w:b/>
          <w:bCs/>
          <w:sz w:val="28"/>
          <w:szCs w:val="28"/>
        </w:rPr>
        <w:t>124</w:t>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t xml:space="preserve">        </w:t>
      </w:r>
      <w:r w:rsidRPr="00C3343E">
        <w:rPr>
          <w:rFonts w:cs="Arial"/>
          <w:b/>
          <w:bCs/>
          <w:sz w:val="28"/>
          <w:szCs w:val="28"/>
        </w:rPr>
        <w:t xml:space="preserve">         </w:t>
      </w:r>
      <w:r w:rsidR="00C3343E">
        <w:rPr>
          <w:rFonts w:cs="Arial"/>
          <w:b/>
          <w:bCs/>
          <w:sz w:val="28"/>
          <w:szCs w:val="28"/>
        </w:rPr>
        <w:t xml:space="preserve">   </w:t>
      </w:r>
      <w:r w:rsidR="00C3343E" w:rsidRPr="00C3343E">
        <w:rPr>
          <w:rFonts w:cs="Arial"/>
          <w:b/>
          <w:bCs/>
          <w:sz w:val="28"/>
          <w:szCs w:val="28"/>
        </w:rPr>
        <w:t>R1-2601220</w:t>
      </w:r>
    </w:p>
    <w:p w14:paraId="403E9375" w14:textId="4D937E0F" w:rsidR="005B17D0" w:rsidRPr="00C3343E" w:rsidRDefault="008471B1" w:rsidP="006447E8">
      <w:pPr>
        <w:snapToGrid w:val="0"/>
        <w:rPr>
          <w:rFonts w:cs="Arial"/>
          <w:b/>
          <w:bCs/>
          <w:sz w:val="28"/>
          <w:szCs w:val="28"/>
        </w:rPr>
      </w:pPr>
      <w:r w:rsidRPr="008471B1">
        <w:rPr>
          <w:rFonts w:cs="Arial"/>
          <w:b/>
          <w:bCs/>
          <w:sz w:val="28"/>
          <w:szCs w:val="28"/>
        </w:rPr>
        <w:t xml:space="preserve">Gothenburg, SE, </w:t>
      </w:r>
      <w:r w:rsidRPr="00C3343E">
        <w:rPr>
          <w:rFonts w:cs="Arial"/>
          <w:b/>
          <w:bCs/>
          <w:sz w:val="28"/>
          <w:szCs w:val="28"/>
        </w:rPr>
        <w:t>Feb. 9th - 13th</w:t>
      </w:r>
      <w:r w:rsidRPr="008471B1">
        <w:rPr>
          <w:rFonts w:cs="Arial"/>
          <w:b/>
          <w:bCs/>
          <w:sz w:val="28"/>
          <w:szCs w:val="28"/>
        </w:rPr>
        <w:t>, 2026</w:t>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30AEA407" w:rsidR="005B17D0" w:rsidRPr="005B17D0" w:rsidRDefault="005B17D0" w:rsidP="00D76E0C">
      <w:pPr>
        <w:ind w:left="1800" w:hanging="1800"/>
        <w:rPr>
          <w:b/>
        </w:rPr>
      </w:pPr>
      <w:r w:rsidRPr="005B17D0">
        <w:rPr>
          <w:b/>
        </w:rPr>
        <w:t>Title:</w:t>
      </w:r>
      <w:r w:rsidRPr="005B17D0">
        <w:rPr>
          <w:b/>
        </w:rPr>
        <w:tab/>
      </w:r>
      <w:r w:rsidR="00D76E0C" w:rsidRPr="00D76E0C">
        <w:rPr>
          <w:b/>
        </w:rPr>
        <w:t>6GR General Aspects and Framework</w:t>
      </w:r>
    </w:p>
    <w:p w14:paraId="3D6C1953" w14:textId="36A58044" w:rsidR="005B17D0" w:rsidRPr="005B17D0" w:rsidRDefault="005B17D0" w:rsidP="00D156CA">
      <w:pPr>
        <w:ind w:left="1800" w:hanging="1800"/>
        <w:rPr>
          <w:b/>
        </w:rPr>
      </w:pPr>
      <w:r w:rsidRPr="005B17D0">
        <w:rPr>
          <w:b/>
        </w:rPr>
        <w:t>Agenda Item:</w:t>
      </w:r>
      <w:r w:rsidRPr="005B17D0">
        <w:rPr>
          <w:b/>
        </w:rPr>
        <w:tab/>
      </w:r>
      <w:r w:rsidR="00D156CA" w:rsidRPr="00D156CA">
        <w:rPr>
          <w:b/>
        </w:rPr>
        <w:t>10.5.0</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5B17D0" w:rsidRDefault="007234DC" w:rsidP="006447E8">
      <w:pPr>
        <w:keepNext/>
        <w:pBdr>
          <w:bottom w:val="single" w:sz="4" w:space="1" w:color="auto"/>
        </w:pBdr>
        <w:spacing w:before="240" w:after="60"/>
        <w:ind w:left="432" w:hanging="432"/>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4C8007" w14:textId="77777777" w:rsidR="00D234D4" w:rsidRDefault="00D234D4" w:rsidP="00376C1B">
      <w:pPr>
        <w:spacing w:after="60" w:line="288" w:lineRule="auto"/>
        <w:ind w:firstLineChars="90" w:firstLine="216"/>
        <w:rPr>
          <w:rFonts w:ascii="Calibri" w:eastAsia="Malgun Gothic" w:hAnsi="Calibri" w:cs="Arial"/>
          <w:lang w:val="en-GB" w:eastAsia="ko-KR"/>
        </w:rPr>
      </w:pPr>
    </w:p>
    <w:p w14:paraId="2BD833B8" w14:textId="5290F3E6" w:rsidR="00546774" w:rsidRPr="00546774" w:rsidRDefault="00546774" w:rsidP="00376C1B">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According to the Chair</w:t>
      </w:r>
      <w:r w:rsidR="00016CCF">
        <w:rPr>
          <w:rFonts w:ascii="Calibri" w:eastAsia="Malgun Gothic" w:hAnsi="Calibri" w:cs="Arial"/>
          <w:lang w:val="en-GB" w:eastAsia="ko-KR"/>
        </w:rPr>
        <w:t>,</w:t>
      </w:r>
      <w:r>
        <w:rPr>
          <w:rFonts w:ascii="Calibri" w:eastAsia="Malgun Gothic" w:hAnsi="Calibri" w:cs="Arial"/>
          <w:lang w:val="en-GB" w:eastAsia="ko-KR"/>
        </w:rPr>
        <w:t xml:space="preserve"> </w:t>
      </w:r>
      <w:r w:rsidR="00016CCF">
        <w:rPr>
          <w:rFonts w:ascii="Calibri" w:eastAsia="Malgun Gothic" w:hAnsi="Calibri" w:cs="Arial"/>
          <w:lang w:val="en-GB" w:eastAsia="ko-KR"/>
        </w:rPr>
        <w:t>agenda item 10.5.0 covers c</w:t>
      </w:r>
      <w:r w:rsidRPr="00546774">
        <w:rPr>
          <w:rFonts w:ascii="Calibri" w:eastAsia="Malgun Gothic" w:hAnsi="Calibri" w:cs="Arial"/>
          <w:lang w:val="en-GB" w:eastAsia="ko-KR"/>
        </w:rPr>
        <w:t xml:space="preserve">ontributions </w:t>
      </w:r>
      <w:r w:rsidR="00016CCF">
        <w:rPr>
          <w:rFonts w:ascii="Calibri" w:eastAsia="Malgun Gothic" w:hAnsi="Calibri" w:cs="Arial"/>
          <w:lang w:val="en-GB" w:eastAsia="ko-KR"/>
        </w:rPr>
        <w:t>“</w:t>
      </w:r>
      <w:r w:rsidRPr="00546774">
        <w:rPr>
          <w:rFonts w:ascii="Calibri" w:eastAsia="Malgun Gothic" w:hAnsi="Calibri" w:cs="Arial"/>
          <w:lang w:val="en-GB" w:eastAsia="ko-KR"/>
        </w:rPr>
        <w:t>identifying candidates and frameworks of duplexing types, for spectrum utilization, for aggregation, for TN&amp;NTN, scalability related aspects, and for targeting coverage, SCS, the maximum bandwidth at network side and UE side, etc.</w:t>
      </w:r>
      <w:r w:rsidR="00C64F6E">
        <w:rPr>
          <w:rFonts w:ascii="Calibri" w:eastAsia="Malgun Gothic" w:hAnsi="Calibri" w:cs="Arial"/>
          <w:lang w:val="en-GB" w:eastAsia="ko-KR"/>
        </w:rPr>
        <w:t>”</w:t>
      </w:r>
    </w:p>
    <w:p w14:paraId="28845AC8" w14:textId="77777777" w:rsidR="00056DBC" w:rsidRDefault="00056DBC" w:rsidP="005F4D31">
      <w:pPr>
        <w:spacing w:after="60" w:line="288" w:lineRule="auto"/>
        <w:ind w:firstLineChars="90" w:firstLine="216"/>
        <w:rPr>
          <w:rFonts w:ascii="Calibri" w:eastAsia="Malgun Gothic" w:hAnsi="Calibri" w:cs="Arial"/>
          <w:bCs/>
          <w:iCs/>
          <w:lang w:val="en-GB" w:eastAsia="ko-KR"/>
        </w:rPr>
      </w:pPr>
    </w:p>
    <w:p w14:paraId="34604CCF" w14:textId="6D0830E8" w:rsidR="00C3700F" w:rsidRDefault="00C3700F" w:rsidP="005F4D31">
      <w:pPr>
        <w:spacing w:after="60" w:line="288" w:lineRule="auto"/>
        <w:ind w:firstLineChars="90" w:firstLine="216"/>
        <w:rPr>
          <w:rFonts w:ascii="Calibri" w:eastAsia="Malgun Gothic" w:hAnsi="Calibri" w:cs="Arial"/>
          <w:bCs/>
          <w:iCs/>
          <w:lang w:val="en-GB" w:eastAsia="ko-KR"/>
        </w:rPr>
      </w:pPr>
      <w:r>
        <w:rPr>
          <w:rFonts w:ascii="Calibri" w:eastAsia="Malgun Gothic" w:hAnsi="Calibri" w:cs="Arial"/>
          <w:bCs/>
          <w:iCs/>
          <w:lang w:val="en-GB" w:eastAsia="ko-KR"/>
        </w:rPr>
        <w:t>In this document we present our views on g</w:t>
      </w:r>
      <w:r w:rsidRPr="00C3700F">
        <w:rPr>
          <w:rFonts w:ascii="Calibri" w:eastAsia="Malgun Gothic" w:hAnsi="Calibri" w:cs="Arial"/>
          <w:bCs/>
          <w:iCs/>
          <w:lang w:val="en-GB" w:eastAsia="ko-KR"/>
        </w:rPr>
        <w:t xml:space="preserve">eneral </w:t>
      </w:r>
      <w:r>
        <w:rPr>
          <w:rFonts w:ascii="Calibri" w:eastAsia="Malgun Gothic" w:hAnsi="Calibri" w:cs="Arial"/>
          <w:bCs/>
          <w:iCs/>
          <w:lang w:val="en-GB" w:eastAsia="ko-KR"/>
        </w:rPr>
        <w:t>a</w:t>
      </w:r>
      <w:r w:rsidRPr="00C3700F">
        <w:rPr>
          <w:rFonts w:ascii="Calibri" w:eastAsia="Malgun Gothic" w:hAnsi="Calibri" w:cs="Arial"/>
          <w:bCs/>
          <w:iCs/>
          <w:lang w:val="en-GB" w:eastAsia="ko-KR"/>
        </w:rPr>
        <w:t xml:space="preserve">spects </w:t>
      </w:r>
      <w:r>
        <w:rPr>
          <w:rFonts w:ascii="Calibri" w:eastAsia="Malgun Gothic" w:hAnsi="Calibri" w:cs="Arial"/>
          <w:bCs/>
          <w:iCs/>
          <w:lang w:val="en-GB" w:eastAsia="ko-KR"/>
        </w:rPr>
        <w:t>of the 6GR f</w:t>
      </w:r>
      <w:r w:rsidRPr="00C3700F">
        <w:rPr>
          <w:rFonts w:ascii="Calibri" w:eastAsia="Malgun Gothic" w:hAnsi="Calibri" w:cs="Arial"/>
          <w:bCs/>
          <w:iCs/>
          <w:lang w:val="en-GB" w:eastAsia="ko-KR"/>
        </w:rPr>
        <w:t>ramework</w:t>
      </w:r>
      <w:r>
        <w:rPr>
          <w:rFonts w:ascii="Calibri" w:eastAsia="Malgun Gothic" w:hAnsi="Calibri" w:cs="Arial"/>
          <w:bCs/>
          <w:iCs/>
          <w:lang w:val="en-GB" w:eastAsia="ko-KR"/>
        </w:rPr>
        <w:t xml:space="preserve"> as well as </w:t>
      </w:r>
      <w:r w:rsidR="001360D0">
        <w:rPr>
          <w:rFonts w:ascii="Calibri" w:eastAsia="Malgun Gothic" w:hAnsi="Calibri" w:cs="Arial"/>
          <w:bCs/>
          <w:iCs/>
          <w:lang w:val="en-GB" w:eastAsia="ko-KR"/>
        </w:rPr>
        <w:t xml:space="preserve">commonality and scalability </w:t>
      </w:r>
      <w:proofErr w:type="gramStart"/>
      <w:r w:rsidR="001360D0">
        <w:rPr>
          <w:rFonts w:ascii="Calibri" w:eastAsia="Malgun Gothic" w:hAnsi="Calibri" w:cs="Arial"/>
          <w:bCs/>
          <w:iCs/>
          <w:lang w:val="en-GB" w:eastAsia="ko-KR"/>
        </w:rPr>
        <w:t>in regard to</w:t>
      </w:r>
      <w:proofErr w:type="gramEnd"/>
      <w:r w:rsidR="001360D0">
        <w:rPr>
          <w:rFonts w:ascii="Calibri" w:eastAsia="Malgun Gothic" w:hAnsi="Calibri" w:cs="Arial"/>
          <w:bCs/>
          <w:iCs/>
          <w:lang w:val="en-GB" w:eastAsia="ko-KR"/>
        </w:rPr>
        <w:t xml:space="preserve"> NTN and MRSS. </w:t>
      </w:r>
    </w:p>
    <w:p w14:paraId="090F1F24" w14:textId="77777777" w:rsidR="001360D0" w:rsidRPr="005D296C" w:rsidRDefault="001360D0" w:rsidP="005F4D31">
      <w:pPr>
        <w:spacing w:after="60" w:line="288" w:lineRule="auto"/>
        <w:ind w:firstLineChars="90" w:firstLine="216"/>
        <w:rPr>
          <w:rFonts w:ascii="Calibri" w:eastAsia="Malgun Gothic" w:hAnsi="Calibri" w:cs="Arial"/>
          <w:bCs/>
          <w:iCs/>
          <w:lang w:val="en-GB" w:eastAsia="ko-KR"/>
        </w:rPr>
      </w:pPr>
    </w:p>
    <w:p w14:paraId="33C30240" w14:textId="43F58A66" w:rsidR="005F4D31" w:rsidRPr="00D76E0C" w:rsidRDefault="005F4D31" w:rsidP="00D76E0C">
      <w:pPr>
        <w:keepNext/>
        <w:pBdr>
          <w:bottom w:val="single" w:sz="4" w:space="1" w:color="auto"/>
        </w:pBdr>
        <w:spacing w:before="240" w:after="60"/>
        <w:ind w:left="432" w:hanging="432"/>
        <w:outlineLvl w:val="0"/>
        <w:rPr>
          <w:b/>
          <w:bCs/>
          <w:iCs/>
          <w:sz w:val="32"/>
        </w:rPr>
      </w:pPr>
      <w:r>
        <w:rPr>
          <w:b/>
          <w:sz w:val="32"/>
        </w:rPr>
        <w:t xml:space="preserve">2. </w:t>
      </w:r>
      <w:r w:rsidR="00D76E0C" w:rsidRPr="00D76E0C">
        <w:rPr>
          <w:b/>
          <w:bCs/>
          <w:iCs/>
          <w:sz w:val="32"/>
        </w:rPr>
        <w:t>6GR General Aspects and Framework</w:t>
      </w:r>
    </w:p>
    <w:p w14:paraId="526A9051" w14:textId="77777777" w:rsidR="00D234D4" w:rsidRDefault="00D234D4" w:rsidP="00FE3BB9">
      <w:pPr>
        <w:pStyle w:val="maintext"/>
        <w:tabs>
          <w:tab w:val="left" w:pos="3150"/>
        </w:tabs>
        <w:ind w:firstLineChars="90" w:firstLine="180"/>
        <w:rPr>
          <w:rFonts w:ascii="Calibri" w:hAnsi="Calibri" w:cs="Arial"/>
          <w:lang w:val="en-US"/>
        </w:rPr>
      </w:pPr>
    </w:p>
    <w:p w14:paraId="27989086" w14:textId="4E865B7B" w:rsidR="00F26788" w:rsidRDefault="001E4C5F" w:rsidP="00D87A20">
      <w:pPr>
        <w:spacing w:after="60" w:line="288" w:lineRule="auto"/>
        <w:ind w:firstLineChars="90" w:firstLine="216"/>
        <w:rPr>
          <w:rFonts w:ascii="Calibri" w:eastAsia="Malgun Gothic" w:hAnsi="Calibri" w:cs="Arial"/>
          <w:lang w:eastAsia="ko-KR"/>
        </w:rPr>
      </w:pPr>
      <w:r>
        <w:rPr>
          <w:rFonts w:ascii="Calibri" w:eastAsia="Malgun Gothic" w:hAnsi="Calibri" w:cs="Arial"/>
          <w:lang w:val="en-GB" w:eastAsia="ko-KR"/>
        </w:rPr>
        <w:t xml:space="preserve">Agenda item </w:t>
      </w:r>
      <w:r w:rsidRPr="001E4C5F">
        <w:rPr>
          <w:rFonts w:ascii="Calibri" w:eastAsia="Malgun Gothic" w:hAnsi="Calibri" w:cs="Arial"/>
          <w:lang w:val="en-GB" w:eastAsia="ko-KR"/>
        </w:rPr>
        <w:t>10.5.0</w:t>
      </w:r>
      <w:r>
        <w:rPr>
          <w:rFonts w:ascii="Calibri" w:eastAsia="Malgun Gothic" w:hAnsi="Calibri" w:cs="Arial"/>
          <w:lang w:val="en-GB" w:eastAsia="ko-KR"/>
        </w:rPr>
        <w:t xml:space="preserve"> is about the framework for 6GR.</w:t>
      </w:r>
      <w:r w:rsidR="0039484D">
        <w:rPr>
          <w:rFonts w:ascii="Calibri" w:eastAsia="Malgun Gothic" w:hAnsi="Calibri" w:cs="Arial"/>
          <w:lang w:val="en-GB" w:eastAsia="ko-KR"/>
        </w:rPr>
        <w:t xml:space="preserve"> So what should the framework of 6GR be? </w:t>
      </w:r>
      <w:r w:rsidR="00D87A20">
        <w:rPr>
          <w:rFonts w:ascii="Calibri" w:eastAsia="Malgun Gothic" w:hAnsi="Calibri" w:cs="Arial"/>
          <w:lang w:val="en-GB" w:eastAsia="ko-KR"/>
        </w:rPr>
        <w:t>A</w:t>
      </w:r>
      <w:r w:rsidR="0039484D">
        <w:rPr>
          <w:rFonts w:ascii="Calibri" w:eastAsia="Malgun Gothic" w:hAnsi="Calibri" w:cs="Arial"/>
          <w:lang w:val="en-GB" w:eastAsia="ko-KR"/>
        </w:rPr>
        <w:t>ll</w:t>
      </w:r>
      <w:r w:rsidR="00ED700A" w:rsidRPr="00C55279">
        <w:rPr>
          <w:rFonts w:ascii="Calibri" w:eastAsia="Malgun Gothic" w:hAnsi="Calibri" w:cs="Arial"/>
          <w:lang w:eastAsia="ko-KR"/>
        </w:rPr>
        <w:t xml:space="preserve"> previous G’s have been designed top down starting with the most demanding use cases</w:t>
      </w:r>
      <w:r w:rsidR="00A06D9E">
        <w:rPr>
          <w:rFonts w:ascii="Calibri" w:eastAsia="Malgun Gothic" w:hAnsi="Calibri" w:cs="Arial"/>
          <w:lang w:eastAsia="ko-KR"/>
        </w:rPr>
        <w:t>, that is,</w:t>
      </w:r>
      <w:r w:rsidR="00A81991">
        <w:rPr>
          <w:rFonts w:ascii="Calibri" w:eastAsia="Malgun Gothic" w:hAnsi="Calibri" w:cs="Arial"/>
          <w:lang w:eastAsia="ko-KR"/>
        </w:rPr>
        <w:t xml:space="preserve"> MB</w:t>
      </w:r>
      <w:r w:rsidR="00ED2383">
        <w:rPr>
          <w:rFonts w:ascii="Calibri" w:eastAsia="Malgun Gothic" w:hAnsi="Calibri" w:cs="Arial"/>
          <w:lang w:eastAsia="ko-KR"/>
        </w:rPr>
        <w:t>B</w:t>
      </w:r>
      <w:r w:rsidR="00A81991">
        <w:rPr>
          <w:rFonts w:ascii="Calibri" w:eastAsia="Malgun Gothic" w:hAnsi="Calibri" w:cs="Arial"/>
          <w:lang w:eastAsia="ko-KR"/>
        </w:rPr>
        <w:t xml:space="preserve"> in 4G LTE Rel. 8 and </w:t>
      </w:r>
      <w:r w:rsidR="00ED700A" w:rsidRPr="00C55279">
        <w:rPr>
          <w:rFonts w:ascii="Calibri" w:eastAsia="Malgun Gothic" w:hAnsi="Calibri" w:cs="Arial"/>
          <w:lang w:eastAsia="ko-KR"/>
        </w:rPr>
        <w:t>eMBB and URLLC</w:t>
      </w:r>
      <w:r w:rsidR="00A81991">
        <w:rPr>
          <w:rFonts w:ascii="Calibri" w:eastAsia="Malgun Gothic" w:hAnsi="Calibri" w:cs="Arial"/>
          <w:lang w:eastAsia="ko-KR"/>
        </w:rPr>
        <w:t xml:space="preserve"> in </w:t>
      </w:r>
      <w:r w:rsidR="00F26788">
        <w:rPr>
          <w:rFonts w:ascii="Calibri" w:eastAsia="Malgun Gothic" w:hAnsi="Calibri" w:cs="Arial"/>
          <w:lang w:eastAsia="ko-KR"/>
        </w:rPr>
        <w:t xml:space="preserve">5G NR Rel. 15. </w:t>
      </w:r>
      <w:r w:rsidR="008F4C1F">
        <w:rPr>
          <w:rFonts w:ascii="Calibri" w:eastAsia="Malgun Gothic" w:hAnsi="Calibri" w:cs="Arial"/>
          <w:lang w:eastAsia="ko-KR"/>
        </w:rPr>
        <w:t>M</w:t>
      </w:r>
      <w:r w:rsidR="008440F2" w:rsidRPr="008440F2">
        <w:rPr>
          <w:rFonts w:ascii="Calibri" w:eastAsia="Malgun Gothic" w:hAnsi="Calibri" w:cs="Arial"/>
          <w:lang w:eastAsia="ko-KR"/>
        </w:rPr>
        <w:t>assive Machine Type Communications (mMTC</w:t>
      </w:r>
      <w:r w:rsidR="00A06D9E">
        <w:rPr>
          <w:rFonts w:ascii="Calibri" w:eastAsia="Malgun Gothic" w:hAnsi="Calibri" w:cs="Arial"/>
          <w:lang w:eastAsia="ko-KR"/>
        </w:rPr>
        <w:t>)</w:t>
      </w:r>
      <w:r w:rsidR="008F4C1F">
        <w:rPr>
          <w:rFonts w:ascii="Calibri" w:eastAsia="Malgun Gothic" w:hAnsi="Calibri" w:cs="Arial"/>
          <w:lang w:eastAsia="ko-KR"/>
        </w:rPr>
        <w:t xml:space="preserve"> was </w:t>
      </w:r>
      <w:r w:rsidR="008440F2" w:rsidRPr="008440F2">
        <w:rPr>
          <w:rFonts w:ascii="Calibri" w:eastAsia="Malgun Gothic" w:hAnsi="Calibri" w:cs="Arial"/>
          <w:lang w:eastAsia="ko-KR"/>
        </w:rPr>
        <w:t xml:space="preserve">one of the vertices of the IMT-2020 triangle </w:t>
      </w:r>
      <w:r w:rsidR="008F4C1F">
        <w:rPr>
          <w:rFonts w:ascii="Calibri" w:eastAsia="Malgun Gothic" w:hAnsi="Calibri" w:cs="Arial"/>
          <w:lang w:eastAsia="ko-KR"/>
        </w:rPr>
        <w:t xml:space="preserve">together with </w:t>
      </w:r>
      <w:r w:rsidR="008440F2" w:rsidRPr="008440F2">
        <w:rPr>
          <w:rFonts w:ascii="Calibri" w:eastAsia="Malgun Gothic" w:hAnsi="Calibri" w:cs="Arial"/>
          <w:lang w:eastAsia="ko-KR"/>
        </w:rPr>
        <w:t xml:space="preserve">URLLC and eMBB, </w:t>
      </w:r>
      <w:r w:rsidR="008F4C1F">
        <w:rPr>
          <w:rFonts w:ascii="Calibri" w:eastAsia="Malgun Gothic" w:hAnsi="Calibri" w:cs="Arial"/>
          <w:lang w:eastAsia="ko-KR"/>
        </w:rPr>
        <w:t xml:space="preserve">but </w:t>
      </w:r>
      <w:r w:rsidR="008440F2" w:rsidRPr="008440F2">
        <w:rPr>
          <w:rFonts w:ascii="Calibri" w:eastAsia="Malgun Gothic" w:hAnsi="Calibri" w:cs="Arial"/>
          <w:lang w:eastAsia="ko-KR"/>
        </w:rPr>
        <w:t xml:space="preserve">3GPP TSG RAN </w:t>
      </w:r>
      <w:r w:rsidR="008F4C1F">
        <w:rPr>
          <w:rFonts w:ascii="Calibri" w:eastAsia="Malgun Gothic" w:hAnsi="Calibri" w:cs="Arial"/>
          <w:lang w:eastAsia="ko-KR"/>
        </w:rPr>
        <w:t xml:space="preserve">#79 </w:t>
      </w:r>
      <w:r w:rsidR="008440F2" w:rsidRPr="008440F2">
        <w:rPr>
          <w:rFonts w:ascii="Calibri" w:eastAsia="Malgun Gothic" w:hAnsi="Calibri" w:cs="Arial"/>
          <w:lang w:eastAsia="ko-KR"/>
        </w:rPr>
        <w:t xml:space="preserve">agreed that </w:t>
      </w:r>
      <w:bookmarkStart w:id="2" w:name="OLE_LINK11"/>
      <w:r w:rsidR="008440F2" w:rsidRPr="008440F2">
        <w:rPr>
          <w:rFonts w:ascii="Calibri" w:eastAsia="Malgun Gothic" w:hAnsi="Calibri" w:cs="Arial"/>
          <w:lang w:eastAsia="ko-KR"/>
        </w:rPr>
        <w:t>“</w:t>
      </w:r>
      <w:bookmarkStart w:id="3" w:name="OLE_LINK6"/>
      <w:r w:rsidR="008440F2" w:rsidRPr="008440F2">
        <w:rPr>
          <w:rFonts w:ascii="Calibri" w:eastAsia="Malgun Gothic" w:hAnsi="Calibri" w:cs="Arial"/>
          <w:lang w:eastAsia="ko-KR"/>
        </w:rPr>
        <w:t xml:space="preserve">no NR based solution is specified for </w:t>
      </w:r>
      <w:bookmarkStart w:id="4" w:name="OLE_LINK10"/>
      <w:r w:rsidR="008440F2" w:rsidRPr="008440F2">
        <w:rPr>
          <w:rFonts w:ascii="Calibri" w:eastAsia="Malgun Gothic" w:hAnsi="Calibri" w:cs="Arial"/>
          <w:lang w:eastAsia="ko-KR"/>
        </w:rPr>
        <w:t>Low-Power Wide-Area (LPWA) use cases</w:t>
      </w:r>
      <w:bookmarkEnd w:id="3"/>
      <w:bookmarkEnd w:id="4"/>
      <w:r w:rsidR="008440F2" w:rsidRPr="008440F2">
        <w:rPr>
          <w:rFonts w:ascii="Calibri" w:eastAsia="Malgun Gothic" w:hAnsi="Calibri" w:cs="Arial"/>
          <w:lang w:eastAsia="ko-KR"/>
        </w:rPr>
        <w:t>”</w:t>
      </w:r>
      <w:bookmarkEnd w:id="2"/>
      <w:r w:rsidR="008440F2" w:rsidRPr="008440F2">
        <w:rPr>
          <w:rFonts w:ascii="Calibri" w:eastAsia="Malgun Gothic" w:hAnsi="Calibri" w:cs="Arial"/>
          <w:lang w:eastAsia="ko-KR"/>
        </w:rPr>
        <w:t xml:space="preserve"> and that “LPWA use cases will continue to be addressed by evolving eMTC and NB-IoT</w:t>
      </w:r>
      <w:r w:rsidR="00011D29">
        <w:rPr>
          <w:rFonts w:ascii="Calibri" w:eastAsia="Malgun Gothic" w:hAnsi="Calibri" w:cs="Arial"/>
          <w:lang w:eastAsia="ko-KR"/>
        </w:rPr>
        <w:t>.</w:t>
      </w:r>
      <w:r w:rsidR="008440F2" w:rsidRPr="008440F2">
        <w:rPr>
          <w:rFonts w:ascii="Calibri" w:eastAsia="Malgun Gothic" w:hAnsi="Calibri" w:cs="Arial"/>
          <w:lang w:eastAsia="ko-KR"/>
        </w:rPr>
        <w:t xml:space="preserve">” </w:t>
      </w:r>
    </w:p>
    <w:p w14:paraId="6122E1F2" w14:textId="77777777" w:rsidR="006D35A2" w:rsidRDefault="006D35A2" w:rsidP="00D87A20">
      <w:pPr>
        <w:spacing w:after="60" w:line="288" w:lineRule="auto"/>
        <w:ind w:firstLineChars="90" w:firstLine="216"/>
        <w:rPr>
          <w:rFonts w:ascii="Calibri" w:eastAsia="Malgun Gothic" w:hAnsi="Calibri" w:cs="Arial"/>
          <w:lang w:eastAsia="ko-KR"/>
        </w:rPr>
      </w:pPr>
    </w:p>
    <w:p w14:paraId="2C0541C6" w14:textId="6B584EC7" w:rsidR="006D35A2" w:rsidRDefault="00E24E2D" w:rsidP="006D35A2">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 xml:space="preserve">In both 4G and 5G, less </w:t>
      </w:r>
      <w:r w:rsidRPr="00E24E2D">
        <w:rPr>
          <w:rFonts w:ascii="Calibri" w:eastAsia="Malgun Gothic" w:hAnsi="Calibri" w:cs="Arial"/>
          <w:lang w:eastAsia="ko-KR"/>
        </w:rPr>
        <w:t>demanding use cases</w:t>
      </w:r>
      <w:r w:rsidRPr="00E24E2D">
        <w:rPr>
          <w:rFonts w:ascii="Calibri" w:eastAsia="Malgun Gothic" w:hAnsi="Calibri" w:cs="Arial"/>
          <w:lang w:val="en-GB" w:eastAsia="ko-KR"/>
        </w:rPr>
        <w:t xml:space="preserve"> </w:t>
      </w:r>
      <w:r>
        <w:rPr>
          <w:rFonts w:ascii="Calibri" w:eastAsia="Malgun Gothic" w:hAnsi="Calibri" w:cs="Arial"/>
          <w:lang w:val="en-GB" w:eastAsia="ko-KR"/>
        </w:rPr>
        <w:t xml:space="preserve">such as </w:t>
      </w:r>
      <w:r w:rsidR="006D35A2" w:rsidRPr="006D35A2">
        <w:rPr>
          <w:rFonts w:ascii="Calibri" w:eastAsia="Malgun Gothic" w:hAnsi="Calibri" w:cs="Arial"/>
          <w:lang w:val="en-GB" w:eastAsia="ko-KR"/>
        </w:rPr>
        <w:t>4G eMTC/NB-IoT and 5G (e)RedCap</w:t>
      </w:r>
      <w:r>
        <w:rPr>
          <w:rFonts w:ascii="Calibri" w:eastAsia="Malgun Gothic" w:hAnsi="Calibri" w:cs="Arial"/>
          <w:lang w:val="en-GB" w:eastAsia="ko-KR"/>
        </w:rPr>
        <w:t>,</w:t>
      </w:r>
      <w:r w:rsidR="006D35A2" w:rsidRPr="006D35A2">
        <w:rPr>
          <w:rFonts w:ascii="Calibri" w:eastAsia="Malgun Gothic" w:hAnsi="Calibri" w:cs="Arial"/>
          <w:lang w:val="en-GB" w:eastAsia="ko-KR"/>
        </w:rPr>
        <w:t xml:space="preserve"> were designed long after the initial release of the respective G</w:t>
      </w:r>
      <w:r>
        <w:rPr>
          <w:rFonts w:ascii="Calibri" w:eastAsia="Malgun Gothic" w:hAnsi="Calibri" w:cs="Arial"/>
          <w:lang w:val="en-GB" w:eastAsia="ko-KR"/>
        </w:rPr>
        <w:t xml:space="preserve">. </w:t>
      </w:r>
      <w:r w:rsidR="006D35A2" w:rsidRPr="006D35A2">
        <w:rPr>
          <w:rFonts w:ascii="Calibri" w:eastAsia="Malgun Gothic" w:hAnsi="Calibri" w:cs="Arial"/>
          <w:lang w:val="en-GB" w:eastAsia="ko-KR"/>
        </w:rPr>
        <w:t xml:space="preserve">Both 4G and 5G </w:t>
      </w:r>
      <w:r>
        <w:rPr>
          <w:rFonts w:ascii="Calibri" w:eastAsia="Malgun Gothic" w:hAnsi="Calibri" w:cs="Arial"/>
          <w:lang w:val="en-GB" w:eastAsia="ko-KR"/>
        </w:rPr>
        <w:t xml:space="preserve">also </w:t>
      </w:r>
      <w:r w:rsidR="006D35A2" w:rsidRPr="006D35A2">
        <w:rPr>
          <w:rFonts w:ascii="Calibri" w:eastAsia="Malgun Gothic" w:hAnsi="Calibri" w:cs="Arial"/>
          <w:lang w:val="en-GB" w:eastAsia="ko-KR"/>
        </w:rPr>
        <w:t xml:space="preserve">introduced bandwidths smaller than the </w:t>
      </w:r>
      <w:r w:rsidR="00075EE7">
        <w:rPr>
          <w:rFonts w:ascii="Calibri" w:eastAsia="Malgun Gothic" w:hAnsi="Calibri" w:cs="Arial"/>
          <w:lang w:val="en-GB" w:eastAsia="ko-KR"/>
        </w:rPr>
        <w:t xml:space="preserve">initial </w:t>
      </w:r>
      <w:r w:rsidR="006D35A2" w:rsidRPr="006D35A2">
        <w:rPr>
          <w:rFonts w:ascii="Calibri" w:eastAsia="Malgun Gothic" w:hAnsi="Calibri" w:cs="Arial"/>
          <w:lang w:val="en-GB" w:eastAsia="ko-KR"/>
        </w:rPr>
        <w:t>minimum bandwidth for eMBB in later releases. NB-IoT was introduced in Rel. 13 and can operate standalone in GSM channels or eMBB guard bands occupying 180 kHz. And in the 5G era, NR added support for dedicated spectrum</w:t>
      </w:r>
      <w:r w:rsidR="006D35A2" w:rsidRPr="006D35A2">
        <w:rPr>
          <w:rFonts w:ascii="Calibri" w:eastAsia="Malgun Gothic" w:hAnsi="Calibri" w:cs="Arial"/>
          <w:b/>
          <w:bCs/>
          <w:lang w:val="en-GB" w:eastAsia="ko-KR"/>
        </w:rPr>
        <w:t xml:space="preserve"> </w:t>
      </w:r>
      <w:r w:rsidR="006D35A2" w:rsidRPr="006D35A2">
        <w:rPr>
          <w:rFonts w:ascii="Calibri" w:eastAsia="Malgun Gothic" w:hAnsi="Calibri" w:cs="Arial"/>
          <w:lang w:val="en-GB" w:eastAsia="ko-KR"/>
        </w:rPr>
        <w:t>with less than 5MHz bandwidth in Release 18.</w:t>
      </w:r>
    </w:p>
    <w:p w14:paraId="4B978557" w14:textId="5E4C0090" w:rsidR="00162B06" w:rsidRDefault="00075EE7" w:rsidP="00D87A20">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lastRenderedPageBreak/>
        <w:t xml:space="preserve">Lastly, both 4G and 5G tried </w:t>
      </w:r>
      <w:r w:rsidR="00162B06" w:rsidRPr="00ED2383">
        <w:rPr>
          <w:rFonts w:ascii="Calibri" w:eastAsia="Malgun Gothic" w:hAnsi="Calibri" w:cs="Arial"/>
          <w:lang w:eastAsia="ko-KR"/>
        </w:rPr>
        <w:t>reducing network energy consumption later in the G via dedicated work items</w:t>
      </w:r>
      <w:r w:rsidR="00FB0D66">
        <w:rPr>
          <w:rFonts w:ascii="Calibri" w:eastAsia="Malgun Gothic" w:hAnsi="Calibri" w:cs="Arial"/>
          <w:lang w:eastAsia="ko-KR"/>
        </w:rPr>
        <w:t xml:space="preserve"> that scale down the initial release</w:t>
      </w:r>
      <w:r w:rsidR="00535120">
        <w:rPr>
          <w:rFonts w:ascii="Calibri" w:eastAsia="Malgun Gothic" w:hAnsi="Calibri" w:cs="Arial"/>
          <w:lang w:eastAsia="ko-KR"/>
        </w:rPr>
        <w:t xml:space="preserve"> </w:t>
      </w:r>
      <w:r w:rsidR="00535120" w:rsidRPr="00535120">
        <w:rPr>
          <w:rFonts w:ascii="Calibri" w:eastAsia="Malgun Gothic" w:hAnsi="Calibri" w:cs="Arial"/>
          <w:lang w:eastAsia="ko-KR"/>
        </w:rPr>
        <w:t xml:space="preserve">to ever lower complexities, powers, capabilities, </w:t>
      </w:r>
      <w:r w:rsidR="00535120">
        <w:rPr>
          <w:rFonts w:ascii="Calibri" w:eastAsia="Malgun Gothic" w:hAnsi="Calibri" w:cs="Arial"/>
          <w:lang w:eastAsia="ko-KR"/>
        </w:rPr>
        <w:t xml:space="preserve">and </w:t>
      </w:r>
      <w:r w:rsidR="00535120" w:rsidRPr="00535120">
        <w:rPr>
          <w:rFonts w:ascii="Calibri" w:eastAsia="Malgun Gothic" w:hAnsi="Calibri" w:cs="Arial"/>
          <w:lang w:eastAsia="ko-KR"/>
        </w:rPr>
        <w:t>bandwidths</w:t>
      </w:r>
      <w:r w:rsidR="00FB0D66">
        <w:rPr>
          <w:rFonts w:ascii="Calibri" w:eastAsia="Malgun Gothic" w:hAnsi="Calibri" w:cs="Arial"/>
          <w:lang w:eastAsia="ko-KR"/>
        </w:rPr>
        <w:t>:</w:t>
      </w:r>
      <w:r w:rsidR="00162B06" w:rsidRPr="00ED2383">
        <w:rPr>
          <w:rFonts w:ascii="Calibri" w:eastAsia="Malgun Gothic" w:hAnsi="Calibri" w:cs="Arial"/>
          <w:lang w:eastAsia="ko-KR"/>
        </w:rPr>
        <w:t xml:space="preserve"> Rel. 12 in LTE and Rel. 18 in 5G NR.</w:t>
      </w:r>
    </w:p>
    <w:p w14:paraId="4D7907EF" w14:textId="77777777" w:rsidR="002B036E" w:rsidRDefault="002B036E" w:rsidP="00D87A20">
      <w:pPr>
        <w:spacing w:after="60" w:line="288" w:lineRule="auto"/>
        <w:ind w:firstLineChars="90" w:firstLine="216"/>
        <w:rPr>
          <w:rFonts w:ascii="Calibri" w:eastAsia="Malgun Gothic" w:hAnsi="Calibri" w:cs="Arial"/>
          <w:lang w:eastAsia="ko-KR"/>
        </w:rPr>
      </w:pPr>
    </w:p>
    <w:p w14:paraId="597EE1C1" w14:textId="244CC9B8" w:rsidR="00011D29" w:rsidRDefault="00B21E9E" w:rsidP="00D87A20">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For IMT-2030, t</w:t>
      </w:r>
      <w:r w:rsidR="00374099">
        <w:rPr>
          <w:rFonts w:ascii="Calibri" w:eastAsia="Malgun Gothic" w:hAnsi="Calibri" w:cs="Arial"/>
          <w:lang w:eastAsia="ko-KR"/>
        </w:rPr>
        <w:t xml:space="preserve">he </w:t>
      </w:r>
      <w:r w:rsidR="00374099" w:rsidRPr="00374099">
        <w:rPr>
          <w:rFonts w:ascii="Calibri" w:eastAsia="Malgun Gothic" w:hAnsi="Calibri" w:cs="Arial"/>
          <w:lang w:eastAsia="ko-KR"/>
        </w:rPr>
        <w:t>IMT-2020 triangle</w:t>
      </w:r>
      <w:r w:rsidR="00374099">
        <w:rPr>
          <w:rFonts w:ascii="Calibri" w:eastAsia="Malgun Gothic" w:hAnsi="Calibri" w:cs="Arial"/>
          <w:lang w:eastAsia="ko-KR"/>
        </w:rPr>
        <w:t xml:space="preserve"> </w:t>
      </w:r>
      <w:r w:rsidR="00262D64">
        <w:rPr>
          <w:rFonts w:ascii="Calibri" w:eastAsia="Malgun Gothic" w:hAnsi="Calibri" w:cs="Arial"/>
          <w:lang w:eastAsia="ko-KR"/>
        </w:rPr>
        <w:t>comprising</w:t>
      </w:r>
      <w:r w:rsidR="00374099">
        <w:rPr>
          <w:rFonts w:ascii="Calibri" w:eastAsia="Malgun Gothic" w:hAnsi="Calibri" w:cs="Arial"/>
          <w:lang w:eastAsia="ko-KR"/>
        </w:rPr>
        <w:t xml:space="preserve"> eMBB, URLLC, and mMTC was augmented by AI, ISAC, and ubiquitous connectivity</w:t>
      </w:r>
      <w:r>
        <w:rPr>
          <w:rFonts w:ascii="Calibri" w:eastAsia="Malgun Gothic" w:hAnsi="Calibri" w:cs="Arial"/>
          <w:lang w:eastAsia="ko-KR"/>
        </w:rPr>
        <w:t xml:space="preserve"> (NTN</w:t>
      </w:r>
      <w:r w:rsidR="00374099">
        <w:rPr>
          <w:rFonts w:ascii="Calibri" w:eastAsia="Malgun Gothic" w:hAnsi="Calibri" w:cs="Arial"/>
          <w:lang w:eastAsia="ko-KR"/>
        </w:rPr>
        <w:t xml:space="preserve">) </w:t>
      </w:r>
      <w:r>
        <w:rPr>
          <w:rFonts w:ascii="Calibri" w:eastAsia="Malgun Gothic" w:hAnsi="Calibri" w:cs="Arial"/>
          <w:lang w:eastAsia="ko-KR"/>
        </w:rPr>
        <w:t xml:space="preserve">to </w:t>
      </w:r>
      <w:r w:rsidR="00683391">
        <w:rPr>
          <w:rFonts w:ascii="Calibri" w:eastAsia="Malgun Gothic" w:hAnsi="Calibri" w:cs="Arial"/>
          <w:lang w:eastAsia="ko-KR"/>
        </w:rPr>
        <w:t>form the basis of 6G. AI, ISAC, and NTN are already specified in 5G-A</w:t>
      </w:r>
      <w:r w:rsidR="005D3C7E">
        <w:rPr>
          <w:rFonts w:ascii="Calibri" w:eastAsia="Malgun Gothic" w:hAnsi="Calibri" w:cs="Arial"/>
          <w:lang w:eastAsia="ko-KR"/>
        </w:rPr>
        <w:t xml:space="preserve">. 6GR, however, allows for the “generational opportunity” of a “native” design rather than “duct taping” a solution to an existing design. </w:t>
      </w:r>
    </w:p>
    <w:p w14:paraId="41DE591E" w14:textId="77777777" w:rsidR="006566C6" w:rsidRDefault="006566C6" w:rsidP="00D87A20">
      <w:pPr>
        <w:spacing w:after="60" w:line="288" w:lineRule="auto"/>
        <w:ind w:firstLineChars="90" w:firstLine="216"/>
        <w:rPr>
          <w:rFonts w:ascii="Calibri" w:eastAsia="Malgun Gothic" w:hAnsi="Calibri" w:cs="Arial"/>
          <w:lang w:eastAsia="ko-KR"/>
        </w:rPr>
      </w:pPr>
    </w:p>
    <w:p w14:paraId="2025E2E8" w14:textId="69D5902C" w:rsidR="00ED700A" w:rsidRPr="00C55279" w:rsidRDefault="0029774A" w:rsidP="00ED700A">
      <w:pPr>
        <w:spacing w:after="60" w:line="288" w:lineRule="auto"/>
        <w:ind w:firstLineChars="90" w:firstLine="216"/>
        <w:rPr>
          <w:rFonts w:ascii="Calibri" w:eastAsia="Malgun Gothic" w:hAnsi="Calibri" w:cs="Arial"/>
          <w:lang w:eastAsia="ko-KR"/>
        </w:rPr>
      </w:pPr>
      <w:proofErr w:type="gramStart"/>
      <w:r>
        <w:rPr>
          <w:rFonts w:ascii="Calibri" w:eastAsia="Malgun Gothic" w:hAnsi="Calibri" w:cs="Arial"/>
          <w:lang w:eastAsia="ko-KR"/>
        </w:rPr>
        <w:t>All of</w:t>
      </w:r>
      <w:proofErr w:type="gramEnd"/>
      <w:r>
        <w:rPr>
          <w:rFonts w:ascii="Calibri" w:eastAsia="Malgun Gothic" w:hAnsi="Calibri" w:cs="Arial"/>
          <w:lang w:eastAsia="ko-KR"/>
        </w:rPr>
        <w:t xml:space="preserve"> the above is to exemplify and motivate the mandate that the </w:t>
      </w:r>
      <w:r w:rsidR="006566C6" w:rsidRPr="00ED2383">
        <w:rPr>
          <w:rFonts w:ascii="Calibri" w:eastAsia="Malgun Gothic" w:hAnsi="Calibri" w:cs="Arial"/>
          <w:lang w:eastAsia="ko-KR"/>
        </w:rPr>
        <w:t xml:space="preserve">6G RAT </w:t>
      </w:r>
      <w:r>
        <w:rPr>
          <w:rFonts w:ascii="Calibri" w:eastAsia="Malgun Gothic" w:hAnsi="Calibri" w:cs="Arial"/>
          <w:lang w:eastAsia="ko-KR"/>
        </w:rPr>
        <w:t xml:space="preserve">framework </w:t>
      </w:r>
      <w:r w:rsidR="006566C6" w:rsidRPr="00ED2383">
        <w:rPr>
          <w:rFonts w:ascii="Calibri" w:eastAsia="Malgun Gothic" w:hAnsi="Calibri" w:cs="Arial"/>
          <w:lang w:eastAsia="ko-KR"/>
        </w:rPr>
        <w:t xml:space="preserve">must be </w:t>
      </w:r>
      <w:r>
        <w:rPr>
          <w:rFonts w:ascii="Calibri" w:eastAsia="Malgun Gothic" w:hAnsi="Calibri" w:cs="Arial"/>
          <w:lang w:eastAsia="ko-KR"/>
        </w:rPr>
        <w:t xml:space="preserve">two things: </w:t>
      </w:r>
      <w:r w:rsidR="006566C6" w:rsidRPr="00ED2383">
        <w:rPr>
          <w:rFonts w:ascii="Calibri" w:eastAsia="Malgun Gothic" w:hAnsi="Calibri" w:cs="Arial"/>
          <w:lang w:eastAsia="ko-KR"/>
        </w:rPr>
        <w:t xml:space="preserve">scalable </w:t>
      </w:r>
      <w:r>
        <w:rPr>
          <w:rFonts w:ascii="Calibri" w:eastAsia="Malgun Gothic" w:hAnsi="Calibri" w:cs="Arial"/>
          <w:lang w:eastAsia="ko-KR"/>
        </w:rPr>
        <w:t>and common</w:t>
      </w:r>
      <w:r w:rsidR="00EA681D">
        <w:rPr>
          <w:rFonts w:ascii="Calibri" w:eastAsia="Malgun Gothic" w:hAnsi="Calibri" w:cs="Arial"/>
          <w:lang w:eastAsia="ko-KR"/>
        </w:rPr>
        <w:t xml:space="preserve"> </w:t>
      </w:r>
      <w:r w:rsidR="006566C6" w:rsidRPr="00ED2383">
        <w:rPr>
          <w:rFonts w:ascii="Calibri" w:eastAsia="Malgun Gothic" w:hAnsi="Calibri" w:cs="Arial"/>
          <w:lang w:eastAsia="ko-KR"/>
        </w:rPr>
        <w:t>from the onset</w:t>
      </w:r>
      <w:r w:rsidR="00EA681D">
        <w:rPr>
          <w:rFonts w:ascii="Calibri" w:eastAsia="Malgun Gothic" w:hAnsi="Calibri" w:cs="Arial"/>
          <w:lang w:eastAsia="ko-KR"/>
        </w:rPr>
        <w:t>. Scalable</w:t>
      </w:r>
      <w:r w:rsidR="006566C6" w:rsidRPr="00ED2383">
        <w:rPr>
          <w:rFonts w:ascii="Calibri" w:eastAsia="Malgun Gothic" w:hAnsi="Calibri" w:cs="Arial"/>
          <w:lang w:eastAsia="ko-KR"/>
        </w:rPr>
        <w:t xml:space="preserve"> starting from a minimum set of KPIs up to the most demanding ones</w:t>
      </w:r>
      <w:r w:rsidR="00EA681D">
        <w:rPr>
          <w:rFonts w:ascii="Calibri" w:eastAsia="Malgun Gothic" w:hAnsi="Calibri" w:cs="Arial"/>
          <w:lang w:eastAsia="ko-KR"/>
        </w:rPr>
        <w:t xml:space="preserve"> with utmost commonality among all use cases and ver</w:t>
      </w:r>
      <w:r w:rsidR="00230936">
        <w:rPr>
          <w:rFonts w:ascii="Calibri" w:eastAsia="Malgun Gothic" w:hAnsi="Calibri" w:cs="Arial"/>
          <w:lang w:eastAsia="ko-KR"/>
        </w:rPr>
        <w:t>t</w:t>
      </w:r>
      <w:r w:rsidR="00EA681D">
        <w:rPr>
          <w:rFonts w:ascii="Calibri" w:eastAsia="Malgun Gothic" w:hAnsi="Calibri" w:cs="Arial"/>
          <w:lang w:eastAsia="ko-KR"/>
        </w:rPr>
        <w:t>icals.</w:t>
      </w:r>
      <w:r w:rsidR="00ED700A" w:rsidRPr="00C55279">
        <w:rPr>
          <w:rFonts w:ascii="Calibri" w:eastAsia="Malgun Gothic" w:hAnsi="Calibri" w:cs="Arial"/>
          <w:lang w:eastAsia="ko-KR"/>
        </w:rPr>
        <w:t xml:space="preserve"> In addition to enabling vertical industries with long life cycles, this bottom-up scalability establishes a platform and toolbox approach with one set of specifications that support all use cases with minimum customization and increased economy of scale as well as inherent network energy and device power savings. </w:t>
      </w:r>
    </w:p>
    <w:p w14:paraId="687E944D" w14:textId="77777777" w:rsidR="00ED700A" w:rsidRPr="00C55279" w:rsidRDefault="00ED700A" w:rsidP="00ED700A">
      <w:pPr>
        <w:spacing w:after="60" w:line="288" w:lineRule="auto"/>
        <w:ind w:firstLineChars="90" w:firstLine="216"/>
        <w:rPr>
          <w:rFonts w:ascii="Calibri" w:eastAsia="Malgun Gothic" w:hAnsi="Calibri" w:cs="Arial"/>
          <w:lang w:eastAsia="ko-KR"/>
        </w:rPr>
      </w:pPr>
    </w:p>
    <w:p w14:paraId="5B0C4CC0" w14:textId="77777777" w:rsidR="00ED700A" w:rsidRPr="00C55279" w:rsidRDefault="00ED700A" w:rsidP="00ED700A">
      <w:pPr>
        <w:spacing w:after="60" w:line="288" w:lineRule="auto"/>
        <w:ind w:firstLineChars="90" w:firstLine="216"/>
        <w:jc w:val="center"/>
      </w:pPr>
      <w:r w:rsidRPr="00C55279">
        <w:rPr>
          <w:noProof/>
        </w:rPr>
        <w:drawing>
          <wp:inline distT="0" distB="0" distL="0" distR="0" wp14:anchorId="06EAF6A2" wp14:editId="7F04576D">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9"/>
                    <a:stretch>
                      <a:fillRect/>
                    </a:stretch>
                  </pic:blipFill>
                  <pic:spPr>
                    <a:xfrm>
                      <a:off x="0" y="0"/>
                      <a:ext cx="5943600" cy="1988185"/>
                    </a:xfrm>
                    <a:prstGeom prst="rect">
                      <a:avLst/>
                    </a:prstGeom>
                  </pic:spPr>
                </pic:pic>
              </a:graphicData>
            </a:graphic>
          </wp:inline>
        </w:drawing>
      </w:r>
    </w:p>
    <w:p w14:paraId="01E9487B" w14:textId="77777777" w:rsidR="00ED700A" w:rsidRPr="0045692A" w:rsidRDefault="00ED700A" w:rsidP="00ED700A">
      <w:pPr>
        <w:pStyle w:val="Caption"/>
        <w:jc w:val="center"/>
        <w:rPr>
          <w:rFonts w:ascii="Calibri" w:eastAsia="Malgun Gothic" w:hAnsi="Calibri" w:cs="Arial"/>
          <w:sz w:val="20"/>
          <w:szCs w:val="20"/>
          <w:lang w:eastAsia="ko-KR"/>
        </w:rPr>
      </w:pPr>
      <w:r w:rsidRPr="0045692A">
        <w:rPr>
          <w:sz w:val="20"/>
          <w:szCs w:val="20"/>
        </w:rPr>
        <w:t xml:space="preserve">Figure </w:t>
      </w:r>
      <w:r w:rsidRPr="0045692A">
        <w:rPr>
          <w:sz w:val="20"/>
          <w:szCs w:val="20"/>
        </w:rPr>
        <w:fldChar w:fldCharType="begin"/>
      </w:r>
      <w:r w:rsidRPr="0045692A">
        <w:rPr>
          <w:sz w:val="20"/>
          <w:szCs w:val="20"/>
        </w:rPr>
        <w:instrText xml:space="preserve"> SEQ Figure \* ARABIC </w:instrText>
      </w:r>
      <w:r w:rsidRPr="0045692A">
        <w:rPr>
          <w:sz w:val="20"/>
          <w:szCs w:val="20"/>
        </w:rPr>
        <w:fldChar w:fldCharType="separate"/>
      </w:r>
      <w:r w:rsidRPr="0045692A">
        <w:rPr>
          <w:noProof/>
          <w:sz w:val="20"/>
          <w:szCs w:val="20"/>
        </w:rPr>
        <w:t>2</w:t>
      </w:r>
      <w:r w:rsidRPr="0045692A">
        <w:rPr>
          <w:noProof/>
          <w:sz w:val="20"/>
          <w:szCs w:val="20"/>
        </w:rPr>
        <w:fldChar w:fldCharType="end"/>
      </w:r>
      <w:r w:rsidRPr="0045692A">
        <w:rPr>
          <w:sz w:val="20"/>
          <w:szCs w:val="20"/>
        </w:rPr>
        <w:t>: 6GR Scalable and Common Design Paradigm</w:t>
      </w:r>
    </w:p>
    <w:p w14:paraId="6D8E4B48" w14:textId="77777777" w:rsidR="00ED700A" w:rsidRPr="00C55279" w:rsidRDefault="00ED700A" w:rsidP="00ED700A">
      <w:pPr>
        <w:pStyle w:val="maintext"/>
        <w:tabs>
          <w:tab w:val="left" w:pos="3150"/>
        </w:tabs>
        <w:ind w:firstLineChars="90" w:firstLine="216"/>
        <w:rPr>
          <w:rFonts w:ascii="Calibri" w:hAnsi="Calibri" w:cs="Arial"/>
          <w:sz w:val="24"/>
          <w:szCs w:val="24"/>
          <w:lang w:val="en-US"/>
        </w:rPr>
      </w:pPr>
    </w:p>
    <w:p w14:paraId="1C4592FA" w14:textId="7CB60394" w:rsidR="00D11F7B" w:rsidRDefault="00D11F7B" w:rsidP="00D11F7B">
      <w:pPr>
        <w:spacing w:after="60" w:line="288" w:lineRule="auto"/>
        <w:ind w:firstLineChars="90" w:firstLine="216"/>
        <w:rPr>
          <w:rFonts w:ascii="Calibri" w:eastAsia="Malgun Gothic" w:hAnsi="Calibri" w:cs="Arial"/>
          <w:lang w:eastAsia="ko-KR"/>
        </w:rPr>
      </w:pPr>
      <w:r w:rsidRPr="00892139">
        <w:rPr>
          <w:rFonts w:ascii="Calibri" w:eastAsia="Malgun Gothic" w:hAnsi="Calibri" w:cs="Arial"/>
          <w:lang w:eastAsia="ko-KR"/>
        </w:rPr>
        <w:t xml:space="preserve">The justification of the 6G study item on scenarios and requirements </w:t>
      </w:r>
      <w:r>
        <w:rPr>
          <w:rFonts w:ascii="Calibri" w:eastAsia="Malgun Gothic" w:hAnsi="Calibri" w:cs="Arial"/>
          <w:lang w:eastAsia="ko-KR"/>
        </w:rPr>
        <w:t xml:space="preserve">further </w:t>
      </w:r>
      <w:r w:rsidRPr="00892139">
        <w:rPr>
          <w:rFonts w:ascii="Calibri" w:eastAsia="Malgun Gothic" w:hAnsi="Calibri" w:cs="Arial"/>
          <w:lang w:eastAsia="ko-KR"/>
        </w:rPr>
        <w:t>states that “the lessons learnt from the development, deployment, and operation of 5G networks around the world [include] system complexity and large number of migration options”</w:t>
      </w:r>
      <w:r>
        <w:rPr>
          <w:rFonts w:ascii="Calibri" w:eastAsia="Malgun Gothic" w:hAnsi="Calibri" w:cs="Arial"/>
          <w:lang w:eastAsia="ko-KR"/>
        </w:rPr>
        <w:t xml:space="preserve"> [1]</w:t>
      </w:r>
      <w:r w:rsidRPr="00892139">
        <w:rPr>
          <w:rFonts w:ascii="Calibri" w:eastAsia="Malgun Gothic" w:hAnsi="Calibri" w:cs="Arial"/>
          <w:lang w:eastAsia="ko-KR"/>
        </w:rPr>
        <w:t xml:space="preserve">. Reference </w:t>
      </w:r>
      <w:r>
        <w:rPr>
          <w:rFonts w:ascii="Calibri" w:eastAsia="Malgun Gothic" w:hAnsi="Calibri" w:cs="Arial"/>
          <w:lang w:eastAsia="ko-KR"/>
        </w:rPr>
        <w:t>[2]</w:t>
      </w:r>
      <w:r w:rsidRPr="00892139">
        <w:rPr>
          <w:rFonts w:ascii="Calibri" w:eastAsia="Malgun Gothic" w:hAnsi="Calibri" w:cs="Arial"/>
          <w:lang w:eastAsia="ko-KR"/>
        </w:rPr>
        <w:t xml:space="preserve"> similarly notes that “during the course of 5G and 5G-Advanced standardization we have observed an ever-increasing trend of excessive 3GPP specifications, e.g., adopting multiple options to the same functionality” and that “excessive specifications in 3GPP not only make the standards unnecessarily complex to define and maintain, it also affects, crucially, </w:t>
      </w:r>
      <w:r w:rsidRPr="00892139">
        <w:rPr>
          <w:rFonts w:ascii="Calibri" w:eastAsia="Malgun Gothic" w:hAnsi="Calibri" w:cs="Arial"/>
          <w:lang w:eastAsia="ko-KR"/>
        </w:rPr>
        <w:lastRenderedPageBreak/>
        <w:t xml:space="preserve">commercialization, causing high implementation complexity, slow time-to-market, poor feature adoption and uptake as well as cumbersome interoperability.” The over 20 co-signing companies </w:t>
      </w:r>
      <w:proofErr w:type="gramStart"/>
      <w:r w:rsidRPr="00892139">
        <w:rPr>
          <w:rFonts w:ascii="Calibri" w:eastAsia="Malgun Gothic" w:hAnsi="Calibri" w:cs="Arial"/>
          <w:lang w:eastAsia="ko-KR"/>
        </w:rPr>
        <w:t>come to the conclusion</w:t>
      </w:r>
      <w:proofErr w:type="gramEnd"/>
      <w:r w:rsidRPr="00892139">
        <w:rPr>
          <w:rFonts w:ascii="Calibri" w:eastAsia="Malgun Gothic" w:hAnsi="Calibri" w:cs="Arial"/>
          <w:lang w:eastAsia="ko-KR"/>
        </w:rPr>
        <w:t xml:space="preserve"> that “the 3GPP community has a opportunity to reverse this trend and strongly commit to producing lean and streamlined standards.”</w:t>
      </w:r>
    </w:p>
    <w:p w14:paraId="7C87C989" w14:textId="77777777" w:rsidR="00ED700A" w:rsidRDefault="00ED700A" w:rsidP="00193D0A">
      <w:pPr>
        <w:spacing w:after="60" w:line="288" w:lineRule="auto"/>
        <w:ind w:firstLineChars="90" w:firstLine="216"/>
        <w:rPr>
          <w:rFonts w:ascii="Calibri" w:eastAsia="Malgun Gothic" w:hAnsi="Calibri" w:cs="Arial"/>
          <w:lang w:val="en-GB" w:eastAsia="ko-KR"/>
        </w:rPr>
      </w:pPr>
    </w:p>
    <w:p w14:paraId="1762F4A2" w14:textId="682DF320" w:rsidR="008A41FE" w:rsidRDefault="008A41FE" w:rsidP="00193D0A">
      <w:pPr>
        <w:spacing w:after="60" w:line="288" w:lineRule="auto"/>
        <w:ind w:firstLineChars="90" w:firstLine="216"/>
        <w:rPr>
          <w:rFonts w:ascii="Calibri" w:eastAsia="Malgun Gothic" w:hAnsi="Calibri" w:cs="Arial"/>
          <w:lang w:eastAsia="ko-KR"/>
        </w:rPr>
      </w:pPr>
      <w:r>
        <w:rPr>
          <w:rFonts w:ascii="Calibri" w:eastAsia="Malgun Gothic" w:hAnsi="Calibri" w:cs="Arial"/>
          <w:lang w:val="en-GB" w:eastAsia="ko-KR"/>
        </w:rPr>
        <w:t xml:space="preserve">A scalable and common design </w:t>
      </w:r>
      <w:r w:rsidR="00C2476E">
        <w:rPr>
          <w:rFonts w:ascii="Calibri" w:eastAsia="Malgun Gothic" w:hAnsi="Calibri" w:cs="Arial"/>
          <w:lang w:eastAsia="ko-KR"/>
        </w:rPr>
        <w:t xml:space="preserve">where </w:t>
      </w:r>
      <w:r w:rsidR="00C2476E" w:rsidRPr="00C2476E">
        <w:rPr>
          <w:rFonts w:ascii="Calibri" w:eastAsia="Malgun Gothic" w:hAnsi="Calibri" w:cs="Arial"/>
          <w:lang w:eastAsia="ko-KR"/>
        </w:rPr>
        <w:t>one set of specifications support</w:t>
      </w:r>
      <w:r w:rsidR="00C2476E">
        <w:rPr>
          <w:rFonts w:ascii="Calibri" w:eastAsia="Malgun Gothic" w:hAnsi="Calibri" w:cs="Arial"/>
          <w:lang w:eastAsia="ko-KR"/>
        </w:rPr>
        <w:t>s</w:t>
      </w:r>
      <w:r w:rsidR="00C2476E" w:rsidRPr="00C2476E">
        <w:rPr>
          <w:rFonts w:ascii="Calibri" w:eastAsia="Malgun Gothic" w:hAnsi="Calibri" w:cs="Arial"/>
          <w:lang w:eastAsia="ko-KR"/>
        </w:rPr>
        <w:t xml:space="preserve"> all use cases with minimum customization</w:t>
      </w:r>
      <w:r w:rsidR="00C2476E">
        <w:rPr>
          <w:rFonts w:ascii="Calibri" w:eastAsia="Malgun Gothic" w:hAnsi="Calibri" w:cs="Arial"/>
          <w:lang w:eastAsia="ko-KR"/>
        </w:rPr>
        <w:t xml:space="preserve"> inherently achieves the above mandate</w:t>
      </w:r>
      <w:r w:rsidR="00FE347C">
        <w:rPr>
          <w:rFonts w:ascii="Calibri" w:eastAsia="Malgun Gothic" w:hAnsi="Calibri" w:cs="Arial"/>
          <w:lang w:eastAsia="ko-KR"/>
        </w:rPr>
        <w:t xml:space="preserve"> of reducing massive amounts of optional features. </w:t>
      </w:r>
    </w:p>
    <w:p w14:paraId="0849FC1B" w14:textId="77777777" w:rsidR="00E8244F" w:rsidRDefault="00E8244F" w:rsidP="00193D0A">
      <w:pPr>
        <w:spacing w:after="60" w:line="288" w:lineRule="auto"/>
        <w:ind w:firstLineChars="90" w:firstLine="216"/>
        <w:rPr>
          <w:rFonts w:ascii="Calibri" w:eastAsia="Malgun Gothic" w:hAnsi="Calibri" w:cs="Arial"/>
          <w:lang w:eastAsia="ko-KR"/>
        </w:rPr>
      </w:pPr>
    </w:p>
    <w:p w14:paraId="030F1D55" w14:textId="77777777" w:rsidR="00E8244F" w:rsidRDefault="00E8244F" w:rsidP="00E8244F">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 xml:space="preserve">To that end 3GPP should not specify additional waveforms or CP lengths for NTN. Such proposals seem to directly violate the requirements of commonality and less options and unnecessarily increase the risk of fragmentation and reduced economy of scale. </w:t>
      </w:r>
    </w:p>
    <w:p w14:paraId="75E5027E" w14:textId="77777777" w:rsidR="00E8244F" w:rsidRDefault="00E8244F" w:rsidP="00E8244F">
      <w:pPr>
        <w:spacing w:after="60" w:line="288" w:lineRule="auto"/>
        <w:ind w:firstLineChars="90" w:firstLine="216"/>
        <w:rPr>
          <w:rFonts w:ascii="Calibri" w:eastAsia="Malgun Gothic" w:hAnsi="Calibri" w:cs="Arial"/>
          <w:lang w:eastAsia="ko-KR"/>
        </w:rPr>
      </w:pPr>
    </w:p>
    <w:p w14:paraId="1122E746" w14:textId="6D9D99F4" w:rsidR="00E8244F" w:rsidRDefault="00E8244F" w:rsidP="00E8244F">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The concept of commonality and scalability further extends across RATs. For 5G/6G MRSS, 6GR reference signals such as CSI-RS could be designed such that 5G UEs can use them. This does not mean that 5G specifications are inserted into 6G ones. Rather, 6GR reference signals would be defined such that a subset of them are physically identical with 5G waveforms.</w:t>
      </w:r>
    </w:p>
    <w:p w14:paraId="4B7B0A28" w14:textId="77777777" w:rsidR="005E338F" w:rsidRPr="006B431D" w:rsidRDefault="005E338F" w:rsidP="005E338F">
      <w:pPr>
        <w:spacing w:after="60" w:line="288" w:lineRule="auto"/>
        <w:ind w:firstLineChars="90" w:firstLine="216"/>
        <w:rPr>
          <w:rFonts w:ascii="Calibri" w:eastAsia="Malgun Gothic" w:hAnsi="Calibri" w:cs="Arial"/>
          <w:lang w:eastAsia="ko-KR"/>
        </w:rPr>
      </w:pPr>
    </w:p>
    <w:p w14:paraId="256708EC" w14:textId="4F1F2B6B" w:rsidR="00E32391" w:rsidRDefault="00965120" w:rsidP="006447E8">
      <w:pPr>
        <w:keepNext/>
        <w:pBdr>
          <w:bottom w:val="single" w:sz="4" w:space="1" w:color="auto"/>
        </w:pBdr>
        <w:spacing w:before="240" w:after="60"/>
        <w:ind w:left="432" w:hanging="432"/>
        <w:outlineLvl w:val="0"/>
        <w:rPr>
          <w:b/>
          <w:sz w:val="32"/>
        </w:rPr>
      </w:pPr>
      <w:r>
        <w:rPr>
          <w:b/>
          <w:sz w:val="32"/>
        </w:rPr>
        <w:t>3</w:t>
      </w:r>
      <w:r w:rsidR="007234DC">
        <w:rPr>
          <w:b/>
          <w:sz w:val="32"/>
        </w:rPr>
        <w:t xml:space="preserve">. </w:t>
      </w:r>
      <w:r w:rsidR="00E32391">
        <w:rPr>
          <w:b/>
          <w:sz w:val="32"/>
        </w:rPr>
        <w:t xml:space="preserve">Conclusion </w:t>
      </w:r>
    </w:p>
    <w:p w14:paraId="5B99A1FA" w14:textId="77777777" w:rsidR="006B431D" w:rsidRPr="006B431D" w:rsidRDefault="006B431D" w:rsidP="006B431D">
      <w:pPr>
        <w:spacing w:after="60" w:line="288" w:lineRule="auto"/>
        <w:ind w:firstLineChars="90" w:firstLine="216"/>
        <w:rPr>
          <w:rFonts w:ascii="Calibri" w:eastAsia="Malgun Gothic" w:hAnsi="Calibri" w:cs="Arial"/>
          <w:bCs/>
          <w:iCs/>
          <w:lang w:val="en-GB" w:eastAsia="ko-KR"/>
        </w:rPr>
      </w:pPr>
      <w:r w:rsidRPr="006B431D">
        <w:rPr>
          <w:rFonts w:ascii="Calibri" w:eastAsia="Malgun Gothic" w:hAnsi="Calibri" w:cs="Arial"/>
          <w:bCs/>
          <w:iCs/>
          <w:lang w:val="en-GB" w:eastAsia="ko-KR"/>
        </w:rPr>
        <w:t xml:space="preserve">In this document we present our views on general aspects of the 6GR framework as well as commonality and scalability </w:t>
      </w:r>
      <w:proofErr w:type="gramStart"/>
      <w:r w:rsidRPr="006B431D">
        <w:rPr>
          <w:rFonts w:ascii="Calibri" w:eastAsia="Malgun Gothic" w:hAnsi="Calibri" w:cs="Arial"/>
          <w:bCs/>
          <w:iCs/>
          <w:lang w:val="en-GB" w:eastAsia="ko-KR"/>
        </w:rPr>
        <w:t>in regard to</w:t>
      </w:r>
      <w:proofErr w:type="gramEnd"/>
      <w:r w:rsidRPr="006B431D">
        <w:rPr>
          <w:rFonts w:ascii="Calibri" w:eastAsia="Malgun Gothic" w:hAnsi="Calibri" w:cs="Arial"/>
          <w:bCs/>
          <w:iCs/>
          <w:lang w:val="en-GB" w:eastAsia="ko-KR"/>
        </w:rPr>
        <w:t xml:space="preserve"> NTN and MRSS. </w:t>
      </w:r>
    </w:p>
    <w:p w14:paraId="37C24D87" w14:textId="6668BFF9" w:rsidR="00193D0A" w:rsidRDefault="00193D0A" w:rsidP="00193D0A">
      <w:pPr>
        <w:spacing w:after="60" w:line="288" w:lineRule="auto"/>
        <w:ind w:firstLineChars="90" w:firstLine="217"/>
        <w:rPr>
          <w:rFonts w:ascii="Calibri" w:hAnsi="Calibri" w:cs="Arial"/>
          <w:b/>
          <w:bCs/>
        </w:rPr>
      </w:pPr>
    </w:p>
    <w:p w14:paraId="12765E6F" w14:textId="77777777" w:rsidR="00E8244F" w:rsidRDefault="00E8244F" w:rsidP="00E8244F">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We propose that 3GPP should not specify additional waveforms or CP lengths for NTN and that for 5G/6G MRSS, 6GR reference signals such as CSI-RS could be designed such that 5G UEs can use them. This does not mean that 5G specifications are inserted into 6G ones. Rather, 6GR reference signals would be defined such that a subset of them are physically identical with 5G waveforms.</w:t>
      </w:r>
    </w:p>
    <w:p w14:paraId="5EB5A0D5" w14:textId="77777777" w:rsidR="007C46B4" w:rsidRPr="00CF0BDE" w:rsidRDefault="007C46B4" w:rsidP="006447E8">
      <w:pPr>
        <w:spacing w:after="60" w:line="288" w:lineRule="auto"/>
        <w:ind w:firstLineChars="90" w:firstLine="216"/>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outlineLvl w:val="0"/>
        <w:rPr>
          <w:b/>
          <w:sz w:val="32"/>
        </w:rPr>
      </w:pPr>
      <w:r>
        <w:rPr>
          <w:b/>
          <w:sz w:val="32"/>
        </w:rPr>
        <w:t xml:space="preserve">References </w:t>
      </w:r>
    </w:p>
    <w:p w14:paraId="5A108D80" w14:textId="77777777" w:rsidR="0065415D" w:rsidRPr="003407AB" w:rsidRDefault="0065415D" w:rsidP="0065415D">
      <w:pPr>
        <w:pStyle w:val="ListParagraph"/>
        <w:numPr>
          <w:ilvl w:val="0"/>
          <w:numId w:val="7"/>
        </w:numPr>
        <w:spacing w:after="60" w:line="288" w:lineRule="auto"/>
        <w:jc w:val="left"/>
        <w:rPr>
          <w:rFonts w:ascii="Calibri" w:eastAsia="Malgun Gothic" w:hAnsi="Calibri" w:cs="Arial"/>
          <w:sz w:val="24"/>
          <w:szCs w:val="24"/>
          <w:lang w:eastAsia="ko-KR"/>
        </w:rPr>
      </w:pPr>
      <w:r w:rsidRPr="003407AB">
        <w:rPr>
          <w:rFonts w:ascii="Calibri" w:eastAsia="Malgun Gothic" w:hAnsi="Calibri" w:cs="Arial"/>
          <w:sz w:val="24"/>
          <w:szCs w:val="24"/>
          <w:lang w:val="en-GB" w:eastAsia="ko-KR"/>
        </w:rPr>
        <w:t>RP-250810, Revised SID: Study on 6G Scenarios and requirements, CMCC, Verizon, NTT DOCOMO, Deutsche Telekom</w:t>
      </w:r>
    </w:p>
    <w:p w14:paraId="49F81C2D" w14:textId="3AFA85BA" w:rsidR="00423898" w:rsidRPr="003407AB" w:rsidRDefault="0065415D" w:rsidP="00423898">
      <w:pPr>
        <w:pStyle w:val="ListParagraph"/>
        <w:numPr>
          <w:ilvl w:val="0"/>
          <w:numId w:val="7"/>
        </w:numPr>
        <w:spacing w:after="60" w:line="288" w:lineRule="auto"/>
        <w:jc w:val="left"/>
        <w:rPr>
          <w:rFonts w:ascii="Calibri" w:eastAsia="Malgun Gothic" w:hAnsi="Calibri" w:cs="Arial"/>
          <w:sz w:val="24"/>
          <w:szCs w:val="24"/>
          <w:lang w:val="en-GB" w:eastAsia="ko-KR"/>
        </w:rPr>
      </w:pPr>
      <w:r w:rsidRPr="003407AB">
        <w:rPr>
          <w:rFonts w:ascii="Calibri" w:eastAsia="Malgun Gothic" w:hAnsi="Calibri" w:cs="Arial"/>
          <w:bCs/>
          <w:sz w:val="24"/>
          <w:szCs w:val="24"/>
          <w:lang w:eastAsia="ko-KR"/>
        </w:rPr>
        <w:lastRenderedPageBreak/>
        <w:t>RP-250766</w:t>
      </w:r>
      <w:r w:rsidRPr="003407AB">
        <w:rPr>
          <w:rFonts w:ascii="Calibri" w:eastAsia="Malgun Gothic" w:hAnsi="Calibri" w:cs="Arial"/>
          <w:sz w:val="24"/>
          <w:szCs w:val="24"/>
          <w:lang w:val="en-GB" w:eastAsia="ko-KR"/>
        </w:rPr>
        <w:t>, Lean and Streamlined 6G Standards, AT&amp;T, Apple, BT, CMCC, DT, Ericsson, Huawei, Intel, KT, MediaTek, Nokia, NTT Docomo, Qualcomm, Reliance Jio, Samsung</w:t>
      </w:r>
      <w:bookmarkStart w:id="5" w:name="OLE_LINK3"/>
      <w:r w:rsidRPr="003407AB">
        <w:rPr>
          <w:rFonts w:ascii="Calibri" w:eastAsia="Malgun Gothic" w:hAnsi="Calibri" w:cs="Arial"/>
          <w:sz w:val="24"/>
          <w:szCs w:val="24"/>
          <w:lang w:val="en-GB" w:eastAsia="ko-KR"/>
        </w:rPr>
        <w:t>, Spark NZ</w:t>
      </w:r>
      <w:bookmarkEnd w:id="5"/>
      <w:r w:rsidRPr="003407AB">
        <w:rPr>
          <w:rFonts w:ascii="Calibri" w:eastAsia="Malgun Gothic" w:hAnsi="Calibri" w:cs="Arial"/>
          <w:sz w:val="24"/>
          <w:szCs w:val="24"/>
          <w:lang w:val="en-GB" w:eastAsia="ko-KR"/>
        </w:rPr>
        <w:t>, T-Mobile USA, Telstra, Verizon, Vodafone, ZTE</w:t>
      </w:r>
    </w:p>
    <w:sectPr w:rsidR="00423898" w:rsidRPr="003407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50053628">
    <w:abstractNumId w:val="10"/>
  </w:num>
  <w:num w:numId="2" w16cid:durableId="1261838039">
    <w:abstractNumId w:val="2"/>
  </w:num>
  <w:num w:numId="3" w16cid:durableId="1434978165">
    <w:abstractNumId w:val="8"/>
  </w:num>
  <w:num w:numId="4" w16cid:durableId="1572152042">
    <w:abstractNumId w:val="0"/>
  </w:num>
  <w:num w:numId="5" w16cid:durableId="1765371329">
    <w:abstractNumId w:val="6"/>
  </w:num>
  <w:num w:numId="6" w16cid:durableId="2069960212">
    <w:abstractNumId w:val="11"/>
  </w:num>
  <w:num w:numId="7" w16cid:durableId="253130882">
    <w:abstractNumId w:val="4"/>
  </w:num>
  <w:num w:numId="8" w16cid:durableId="55319585">
    <w:abstractNumId w:val="1"/>
  </w:num>
  <w:num w:numId="9" w16cid:durableId="1343319289">
    <w:abstractNumId w:val="7"/>
  </w:num>
  <w:num w:numId="10" w16cid:durableId="1225071139">
    <w:abstractNumId w:val="9"/>
  </w:num>
  <w:num w:numId="11" w16cid:durableId="1452086449">
    <w:abstractNumId w:val="5"/>
  </w:num>
  <w:num w:numId="12" w16cid:durableId="2111702058">
    <w:abstractNumId w:val="12"/>
  </w:num>
  <w:num w:numId="13" w16cid:durableId="1506478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481A"/>
    <w:rsid w:val="00011D29"/>
    <w:rsid w:val="000150EA"/>
    <w:rsid w:val="00016CCF"/>
    <w:rsid w:val="000263D4"/>
    <w:rsid w:val="000305B0"/>
    <w:rsid w:val="00030E79"/>
    <w:rsid w:val="00037398"/>
    <w:rsid w:val="000444A6"/>
    <w:rsid w:val="000478F2"/>
    <w:rsid w:val="000516F9"/>
    <w:rsid w:val="0005609E"/>
    <w:rsid w:val="00056DBC"/>
    <w:rsid w:val="00057A40"/>
    <w:rsid w:val="0006370F"/>
    <w:rsid w:val="00065FD0"/>
    <w:rsid w:val="00073C62"/>
    <w:rsid w:val="00075064"/>
    <w:rsid w:val="00075EE7"/>
    <w:rsid w:val="00083F94"/>
    <w:rsid w:val="00086057"/>
    <w:rsid w:val="00093F01"/>
    <w:rsid w:val="000958A5"/>
    <w:rsid w:val="000A0157"/>
    <w:rsid w:val="000A1FF3"/>
    <w:rsid w:val="000B5025"/>
    <w:rsid w:val="000B6C66"/>
    <w:rsid w:val="000C27C0"/>
    <w:rsid w:val="000C63B4"/>
    <w:rsid w:val="000D0E60"/>
    <w:rsid w:val="000D421A"/>
    <w:rsid w:val="000D5DD0"/>
    <w:rsid w:val="000E044E"/>
    <w:rsid w:val="000E19F7"/>
    <w:rsid w:val="000E3518"/>
    <w:rsid w:val="000E3F6D"/>
    <w:rsid w:val="000F7B0E"/>
    <w:rsid w:val="00107340"/>
    <w:rsid w:val="00107E58"/>
    <w:rsid w:val="00111EF2"/>
    <w:rsid w:val="00113AAA"/>
    <w:rsid w:val="00113E5F"/>
    <w:rsid w:val="00115A5D"/>
    <w:rsid w:val="00116568"/>
    <w:rsid w:val="00116A25"/>
    <w:rsid w:val="001173D4"/>
    <w:rsid w:val="0012278C"/>
    <w:rsid w:val="00131582"/>
    <w:rsid w:val="00132FA7"/>
    <w:rsid w:val="00133F50"/>
    <w:rsid w:val="001360D0"/>
    <w:rsid w:val="00136BA3"/>
    <w:rsid w:val="00142AFD"/>
    <w:rsid w:val="00144950"/>
    <w:rsid w:val="00154BA8"/>
    <w:rsid w:val="00155D6D"/>
    <w:rsid w:val="00162B06"/>
    <w:rsid w:val="00167E8F"/>
    <w:rsid w:val="001700F5"/>
    <w:rsid w:val="001732E9"/>
    <w:rsid w:val="00176617"/>
    <w:rsid w:val="00185553"/>
    <w:rsid w:val="001910AC"/>
    <w:rsid w:val="001928F2"/>
    <w:rsid w:val="00193D0A"/>
    <w:rsid w:val="0019799D"/>
    <w:rsid w:val="001A269B"/>
    <w:rsid w:val="001A7AE8"/>
    <w:rsid w:val="001B1E25"/>
    <w:rsid w:val="001B3394"/>
    <w:rsid w:val="001B4435"/>
    <w:rsid w:val="001B76F0"/>
    <w:rsid w:val="001C0755"/>
    <w:rsid w:val="001C3E3F"/>
    <w:rsid w:val="001C6EEA"/>
    <w:rsid w:val="001D146E"/>
    <w:rsid w:val="001D6FF3"/>
    <w:rsid w:val="001E4972"/>
    <w:rsid w:val="001E4C5F"/>
    <w:rsid w:val="001E4E0F"/>
    <w:rsid w:val="001E57FE"/>
    <w:rsid w:val="001F0175"/>
    <w:rsid w:val="001F6878"/>
    <w:rsid w:val="002011D8"/>
    <w:rsid w:val="00204B37"/>
    <w:rsid w:val="00211C02"/>
    <w:rsid w:val="00213CB3"/>
    <w:rsid w:val="00217170"/>
    <w:rsid w:val="00220F3A"/>
    <w:rsid w:val="00221A41"/>
    <w:rsid w:val="00230936"/>
    <w:rsid w:val="00237A56"/>
    <w:rsid w:val="00237E1A"/>
    <w:rsid w:val="00243C94"/>
    <w:rsid w:val="002461A9"/>
    <w:rsid w:val="002526E5"/>
    <w:rsid w:val="002527DE"/>
    <w:rsid w:val="00252DF6"/>
    <w:rsid w:val="002568A3"/>
    <w:rsid w:val="00262A63"/>
    <w:rsid w:val="00262D64"/>
    <w:rsid w:val="002656F6"/>
    <w:rsid w:val="00267211"/>
    <w:rsid w:val="002802DA"/>
    <w:rsid w:val="00280731"/>
    <w:rsid w:val="00280DDE"/>
    <w:rsid w:val="002823E7"/>
    <w:rsid w:val="00282AFE"/>
    <w:rsid w:val="00285AF0"/>
    <w:rsid w:val="0029774A"/>
    <w:rsid w:val="002A0E27"/>
    <w:rsid w:val="002A1437"/>
    <w:rsid w:val="002A44C9"/>
    <w:rsid w:val="002A7C8B"/>
    <w:rsid w:val="002B036E"/>
    <w:rsid w:val="002B0A7E"/>
    <w:rsid w:val="002B6C8E"/>
    <w:rsid w:val="002B6ED6"/>
    <w:rsid w:val="002B74EB"/>
    <w:rsid w:val="002C4076"/>
    <w:rsid w:val="002C6209"/>
    <w:rsid w:val="002C67DB"/>
    <w:rsid w:val="002D02D7"/>
    <w:rsid w:val="002D6346"/>
    <w:rsid w:val="002F0474"/>
    <w:rsid w:val="002F5429"/>
    <w:rsid w:val="00304DEE"/>
    <w:rsid w:val="003059A1"/>
    <w:rsid w:val="00307FCC"/>
    <w:rsid w:val="00310E65"/>
    <w:rsid w:val="00313546"/>
    <w:rsid w:val="003141EA"/>
    <w:rsid w:val="00314CCD"/>
    <w:rsid w:val="00321C90"/>
    <w:rsid w:val="00326DDD"/>
    <w:rsid w:val="00331C87"/>
    <w:rsid w:val="003407AB"/>
    <w:rsid w:val="00340AF1"/>
    <w:rsid w:val="003421C2"/>
    <w:rsid w:val="00345F21"/>
    <w:rsid w:val="00347B74"/>
    <w:rsid w:val="00347F20"/>
    <w:rsid w:val="00361731"/>
    <w:rsid w:val="00363085"/>
    <w:rsid w:val="00374099"/>
    <w:rsid w:val="00376C1B"/>
    <w:rsid w:val="00377006"/>
    <w:rsid w:val="003801FE"/>
    <w:rsid w:val="003811F0"/>
    <w:rsid w:val="00381BEF"/>
    <w:rsid w:val="0038202A"/>
    <w:rsid w:val="0038275A"/>
    <w:rsid w:val="003853C3"/>
    <w:rsid w:val="00387E76"/>
    <w:rsid w:val="003913CD"/>
    <w:rsid w:val="00391F3C"/>
    <w:rsid w:val="0039484D"/>
    <w:rsid w:val="00395FDA"/>
    <w:rsid w:val="003968E4"/>
    <w:rsid w:val="003A054B"/>
    <w:rsid w:val="003B2B94"/>
    <w:rsid w:val="003B2E21"/>
    <w:rsid w:val="003C37C8"/>
    <w:rsid w:val="003C59D1"/>
    <w:rsid w:val="003D7F61"/>
    <w:rsid w:val="00405FD5"/>
    <w:rsid w:val="0040650C"/>
    <w:rsid w:val="00415F96"/>
    <w:rsid w:val="0041633A"/>
    <w:rsid w:val="00423898"/>
    <w:rsid w:val="00437038"/>
    <w:rsid w:val="00437753"/>
    <w:rsid w:val="004438D8"/>
    <w:rsid w:val="00445F00"/>
    <w:rsid w:val="004513B7"/>
    <w:rsid w:val="0045692A"/>
    <w:rsid w:val="00456CDA"/>
    <w:rsid w:val="00457209"/>
    <w:rsid w:val="00457650"/>
    <w:rsid w:val="00457A2F"/>
    <w:rsid w:val="00460DC4"/>
    <w:rsid w:val="00462AE2"/>
    <w:rsid w:val="0046756B"/>
    <w:rsid w:val="00477657"/>
    <w:rsid w:val="00482331"/>
    <w:rsid w:val="00486792"/>
    <w:rsid w:val="004A4C4A"/>
    <w:rsid w:val="004B1012"/>
    <w:rsid w:val="004C0EF8"/>
    <w:rsid w:val="004C4CE8"/>
    <w:rsid w:val="004D1966"/>
    <w:rsid w:val="004E00A1"/>
    <w:rsid w:val="004E18C3"/>
    <w:rsid w:val="004E3437"/>
    <w:rsid w:val="004F0128"/>
    <w:rsid w:val="004F0E4C"/>
    <w:rsid w:val="004F45CC"/>
    <w:rsid w:val="004F530A"/>
    <w:rsid w:val="004F7594"/>
    <w:rsid w:val="00506E31"/>
    <w:rsid w:val="00520314"/>
    <w:rsid w:val="00522F53"/>
    <w:rsid w:val="00525617"/>
    <w:rsid w:val="00535120"/>
    <w:rsid w:val="005365E4"/>
    <w:rsid w:val="005371D0"/>
    <w:rsid w:val="00544BF9"/>
    <w:rsid w:val="00546774"/>
    <w:rsid w:val="00546BFC"/>
    <w:rsid w:val="00550C6D"/>
    <w:rsid w:val="00551AAE"/>
    <w:rsid w:val="0055576C"/>
    <w:rsid w:val="00560C5D"/>
    <w:rsid w:val="00573D36"/>
    <w:rsid w:val="005778F3"/>
    <w:rsid w:val="005810BF"/>
    <w:rsid w:val="0058305B"/>
    <w:rsid w:val="00585272"/>
    <w:rsid w:val="00587FB5"/>
    <w:rsid w:val="005909B8"/>
    <w:rsid w:val="005941EB"/>
    <w:rsid w:val="005A7F1D"/>
    <w:rsid w:val="005B17D0"/>
    <w:rsid w:val="005B216C"/>
    <w:rsid w:val="005B6035"/>
    <w:rsid w:val="005C744A"/>
    <w:rsid w:val="005D24CA"/>
    <w:rsid w:val="005D296C"/>
    <w:rsid w:val="005D3C7E"/>
    <w:rsid w:val="005D524D"/>
    <w:rsid w:val="005E338F"/>
    <w:rsid w:val="005E5CFD"/>
    <w:rsid w:val="005E64C4"/>
    <w:rsid w:val="005F4D31"/>
    <w:rsid w:val="0060186F"/>
    <w:rsid w:val="0061109E"/>
    <w:rsid w:val="00611D3E"/>
    <w:rsid w:val="00613837"/>
    <w:rsid w:val="00621CF4"/>
    <w:rsid w:val="00622221"/>
    <w:rsid w:val="00622CFB"/>
    <w:rsid w:val="006237CF"/>
    <w:rsid w:val="006241D5"/>
    <w:rsid w:val="00626885"/>
    <w:rsid w:val="00631072"/>
    <w:rsid w:val="00643D54"/>
    <w:rsid w:val="006447E8"/>
    <w:rsid w:val="00645EBA"/>
    <w:rsid w:val="006507EB"/>
    <w:rsid w:val="006533F7"/>
    <w:rsid w:val="0065415D"/>
    <w:rsid w:val="006566C6"/>
    <w:rsid w:val="00660B00"/>
    <w:rsid w:val="00662142"/>
    <w:rsid w:val="0066222C"/>
    <w:rsid w:val="006632E1"/>
    <w:rsid w:val="00663356"/>
    <w:rsid w:val="00665791"/>
    <w:rsid w:val="00675C3F"/>
    <w:rsid w:val="00676171"/>
    <w:rsid w:val="0068279C"/>
    <w:rsid w:val="00683391"/>
    <w:rsid w:val="00695DFE"/>
    <w:rsid w:val="006A710A"/>
    <w:rsid w:val="006B1460"/>
    <w:rsid w:val="006B2090"/>
    <w:rsid w:val="006B22D7"/>
    <w:rsid w:val="006B332F"/>
    <w:rsid w:val="006B431D"/>
    <w:rsid w:val="006C072C"/>
    <w:rsid w:val="006C2377"/>
    <w:rsid w:val="006C297A"/>
    <w:rsid w:val="006C41AC"/>
    <w:rsid w:val="006C536A"/>
    <w:rsid w:val="006C632E"/>
    <w:rsid w:val="006C6930"/>
    <w:rsid w:val="006D35A2"/>
    <w:rsid w:val="006D4DDF"/>
    <w:rsid w:val="006D6C15"/>
    <w:rsid w:val="006D7278"/>
    <w:rsid w:val="006E1041"/>
    <w:rsid w:val="006E1E31"/>
    <w:rsid w:val="006E2ECA"/>
    <w:rsid w:val="006E5CE6"/>
    <w:rsid w:val="006E6610"/>
    <w:rsid w:val="006F3031"/>
    <w:rsid w:val="007005B5"/>
    <w:rsid w:val="0070633C"/>
    <w:rsid w:val="00707589"/>
    <w:rsid w:val="007234DC"/>
    <w:rsid w:val="00726EBF"/>
    <w:rsid w:val="00734B82"/>
    <w:rsid w:val="00745194"/>
    <w:rsid w:val="00746EB1"/>
    <w:rsid w:val="00753C9E"/>
    <w:rsid w:val="007567A7"/>
    <w:rsid w:val="00760B7E"/>
    <w:rsid w:val="00763298"/>
    <w:rsid w:val="0076374A"/>
    <w:rsid w:val="00767B2A"/>
    <w:rsid w:val="007721DC"/>
    <w:rsid w:val="00773F49"/>
    <w:rsid w:val="007770F6"/>
    <w:rsid w:val="0078067E"/>
    <w:rsid w:val="00781CF3"/>
    <w:rsid w:val="0078584F"/>
    <w:rsid w:val="00793E5A"/>
    <w:rsid w:val="007A0102"/>
    <w:rsid w:val="007A5DAA"/>
    <w:rsid w:val="007B0843"/>
    <w:rsid w:val="007B11DF"/>
    <w:rsid w:val="007B49D4"/>
    <w:rsid w:val="007C422F"/>
    <w:rsid w:val="007C46B4"/>
    <w:rsid w:val="007D0770"/>
    <w:rsid w:val="007E160A"/>
    <w:rsid w:val="007E46E9"/>
    <w:rsid w:val="007F1E84"/>
    <w:rsid w:val="00807152"/>
    <w:rsid w:val="00813A33"/>
    <w:rsid w:val="00815664"/>
    <w:rsid w:val="0081605A"/>
    <w:rsid w:val="00816EA7"/>
    <w:rsid w:val="0082414A"/>
    <w:rsid w:val="00832816"/>
    <w:rsid w:val="00834B72"/>
    <w:rsid w:val="0083513F"/>
    <w:rsid w:val="00840030"/>
    <w:rsid w:val="008440F2"/>
    <w:rsid w:val="00845D55"/>
    <w:rsid w:val="00846323"/>
    <w:rsid w:val="008471B1"/>
    <w:rsid w:val="00847DF9"/>
    <w:rsid w:val="00856315"/>
    <w:rsid w:val="00860259"/>
    <w:rsid w:val="00862624"/>
    <w:rsid w:val="00875813"/>
    <w:rsid w:val="00884192"/>
    <w:rsid w:val="008908E9"/>
    <w:rsid w:val="00892139"/>
    <w:rsid w:val="008966CB"/>
    <w:rsid w:val="008A01F4"/>
    <w:rsid w:val="008A41FE"/>
    <w:rsid w:val="008C49FA"/>
    <w:rsid w:val="008C5C11"/>
    <w:rsid w:val="008D26D2"/>
    <w:rsid w:val="008D39DE"/>
    <w:rsid w:val="008D430E"/>
    <w:rsid w:val="008E2B0A"/>
    <w:rsid w:val="008E3CB4"/>
    <w:rsid w:val="008E403D"/>
    <w:rsid w:val="008E5C06"/>
    <w:rsid w:val="008E5FB0"/>
    <w:rsid w:val="008E6DF4"/>
    <w:rsid w:val="008F4C1F"/>
    <w:rsid w:val="008F5003"/>
    <w:rsid w:val="00907459"/>
    <w:rsid w:val="00912C9F"/>
    <w:rsid w:val="00921279"/>
    <w:rsid w:val="00924138"/>
    <w:rsid w:val="00927BC8"/>
    <w:rsid w:val="00937548"/>
    <w:rsid w:val="00937F3F"/>
    <w:rsid w:val="009426FE"/>
    <w:rsid w:val="00961062"/>
    <w:rsid w:val="009632A4"/>
    <w:rsid w:val="00965120"/>
    <w:rsid w:val="00965359"/>
    <w:rsid w:val="00970CA4"/>
    <w:rsid w:val="00975C0F"/>
    <w:rsid w:val="00983A92"/>
    <w:rsid w:val="009843F8"/>
    <w:rsid w:val="0098585D"/>
    <w:rsid w:val="009A1073"/>
    <w:rsid w:val="009A645C"/>
    <w:rsid w:val="009A7772"/>
    <w:rsid w:val="009B16B3"/>
    <w:rsid w:val="009B17DA"/>
    <w:rsid w:val="009B448D"/>
    <w:rsid w:val="009B7C44"/>
    <w:rsid w:val="009C1964"/>
    <w:rsid w:val="009D5019"/>
    <w:rsid w:val="009E1025"/>
    <w:rsid w:val="009E2900"/>
    <w:rsid w:val="009E3838"/>
    <w:rsid w:val="009E3C10"/>
    <w:rsid w:val="009E4CA3"/>
    <w:rsid w:val="009F3C06"/>
    <w:rsid w:val="009F482A"/>
    <w:rsid w:val="009F5E7F"/>
    <w:rsid w:val="00A00D20"/>
    <w:rsid w:val="00A06D9E"/>
    <w:rsid w:val="00A07431"/>
    <w:rsid w:val="00A1109C"/>
    <w:rsid w:val="00A23D96"/>
    <w:rsid w:val="00A246C7"/>
    <w:rsid w:val="00A26B3F"/>
    <w:rsid w:val="00A32B91"/>
    <w:rsid w:val="00A3554C"/>
    <w:rsid w:val="00A43928"/>
    <w:rsid w:val="00A439A8"/>
    <w:rsid w:val="00A5738F"/>
    <w:rsid w:val="00A63E57"/>
    <w:rsid w:val="00A70D3F"/>
    <w:rsid w:val="00A71269"/>
    <w:rsid w:val="00A72AB6"/>
    <w:rsid w:val="00A81991"/>
    <w:rsid w:val="00A82FA4"/>
    <w:rsid w:val="00A902E0"/>
    <w:rsid w:val="00A92E11"/>
    <w:rsid w:val="00A94DDD"/>
    <w:rsid w:val="00A96F02"/>
    <w:rsid w:val="00A972F6"/>
    <w:rsid w:val="00AB02B3"/>
    <w:rsid w:val="00AB1020"/>
    <w:rsid w:val="00AB4729"/>
    <w:rsid w:val="00AB68FA"/>
    <w:rsid w:val="00AB722F"/>
    <w:rsid w:val="00AC1A94"/>
    <w:rsid w:val="00AC5069"/>
    <w:rsid w:val="00AC5ADB"/>
    <w:rsid w:val="00AD3788"/>
    <w:rsid w:val="00AE1C21"/>
    <w:rsid w:val="00AF36C1"/>
    <w:rsid w:val="00AF617C"/>
    <w:rsid w:val="00B0330F"/>
    <w:rsid w:val="00B1057E"/>
    <w:rsid w:val="00B14263"/>
    <w:rsid w:val="00B14C11"/>
    <w:rsid w:val="00B15312"/>
    <w:rsid w:val="00B21E9E"/>
    <w:rsid w:val="00B23821"/>
    <w:rsid w:val="00B23E8D"/>
    <w:rsid w:val="00B300FC"/>
    <w:rsid w:val="00B31D87"/>
    <w:rsid w:val="00B3249A"/>
    <w:rsid w:val="00B36D67"/>
    <w:rsid w:val="00B43F7B"/>
    <w:rsid w:val="00B66FB8"/>
    <w:rsid w:val="00B827CF"/>
    <w:rsid w:val="00B90F44"/>
    <w:rsid w:val="00B95040"/>
    <w:rsid w:val="00B950E8"/>
    <w:rsid w:val="00BA0077"/>
    <w:rsid w:val="00BA61D4"/>
    <w:rsid w:val="00BA6AA0"/>
    <w:rsid w:val="00BA72EA"/>
    <w:rsid w:val="00BB0ABA"/>
    <w:rsid w:val="00BB734B"/>
    <w:rsid w:val="00BC5EDF"/>
    <w:rsid w:val="00BC610E"/>
    <w:rsid w:val="00BD1290"/>
    <w:rsid w:val="00BD45C4"/>
    <w:rsid w:val="00BF3294"/>
    <w:rsid w:val="00BF485C"/>
    <w:rsid w:val="00BF59FA"/>
    <w:rsid w:val="00BF5F87"/>
    <w:rsid w:val="00C049F5"/>
    <w:rsid w:val="00C10AFA"/>
    <w:rsid w:val="00C15F90"/>
    <w:rsid w:val="00C17C9E"/>
    <w:rsid w:val="00C22D2C"/>
    <w:rsid w:val="00C2476E"/>
    <w:rsid w:val="00C3343E"/>
    <w:rsid w:val="00C3700F"/>
    <w:rsid w:val="00C400DA"/>
    <w:rsid w:val="00C43958"/>
    <w:rsid w:val="00C47B4E"/>
    <w:rsid w:val="00C5244E"/>
    <w:rsid w:val="00C54017"/>
    <w:rsid w:val="00C64F6E"/>
    <w:rsid w:val="00C657D2"/>
    <w:rsid w:val="00C67A47"/>
    <w:rsid w:val="00C67C09"/>
    <w:rsid w:val="00C717C3"/>
    <w:rsid w:val="00C73BBF"/>
    <w:rsid w:val="00C74191"/>
    <w:rsid w:val="00C754E6"/>
    <w:rsid w:val="00C82ADA"/>
    <w:rsid w:val="00C91254"/>
    <w:rsid w:val="00C9275C"/>
    <w:rsid w:val="00C92D0D"/>
    <w:rsid w:val="00C9317E"/>
    <w:rsid w:val="00C94F9A"/>
    <w:rsid w:val="00C95DBF"/>
    <w:rsid w:val="00CA1578"/>
    <w:rsid w:val="00CA5763"/>
    <w:rsid w:val="00CB4F9E"/>
    <w:rsid w:val="00CB5E2C"/>
    <w:rsid w:val="00CB7254"/>
    <w:rsid w:val="00CD44D4"/>
    <w:rsid w:val="00CD6C58"/>
    <w:rsid w:val="00CE061F"/>
    <w:rsid w:val="00CF0BDE"/>
    <w:rsid w:val="00D042A2"/>
    <w:rsid w:val="00D10CBA"/>
    <w:rsid w:val="00D11F7B"/>
    <w:rsid w:val="00D156CA"/>
    <w:rsid w:val="00D15E65"/>
    <w:rsid w:val="00D2144C"/>
    <w:rsid w:val="00D234D4"/>
    <w:rsid w:val="00D24B66"/>
    <w:rsid w:val="00D331EA"/>
    <w:rsid w:val="00D4575F"/>
    <w:rsid w:val="00D51060"/>
    <w:rsid w:val="00D54917"/>
    <w:rsid w:val="00D639F9"/>
    <w:rsid w:val="00D64CE7"/>
    <w:rsid w:val="00D67CB9"/>
    <w:rsid w:val="00D72ACA"/>
    <w:rsid w:val="00D72FED"/>
    <w:rsid w:val="00D76E0C"/>
    <w:rsid w:val="00D76FBD"/>
    <w:rsid w:val="00D77C4C"/>
    <w:rsid w:val="00D84C7E"/>
    <w:rsid w:val="00D87A20"/>
    <w:rsid w:val="00D91A8A"/>
    <w:rsid w:val="00D9746E"/>
    <w:rsid w:val="00DA77B3"/>
    <w:rsid w:val="00DB25B6"/>
    <w:rsid w:val="00DB57B3"/>
    <w:rsid w:val="00DC52C6"/>
    <w:rsid w:val="00DC5D47"/>
    <w:rsid w:val="00DD029E"/>
    <w:rsid w:val="00DD6D61"/>
    <w:rsid w:val="00DE0228"/>
    <w:rsid w:val="00DE0FE3"/>
    <w:rsid w:val="00DF6C89"/>
    <w:rsid w:val="00E068C1"/>
    <w:rsid w:val="00E109CC"/>
    <w:rsid w:val="00E1253D"/>
    <w:rsid w:val="00E13920"/>
    <w:rsid w:val="00E22D8F"/>
    <w:rsid w:val="00E24E2D"/>
    <w:rsid w:val="00E32391"/>
    <w:rsid w:val="00E369BD"/>
    <w:rsid w:val="00E47A17"/>
    <w:rsid w:val="00E61C8D"/>
    <w:rsid w:val="00E70273"/>
    <w:rsid w:val="00E72254"/>
    <w:rsid w:val="00E8244F"/>
    <w:rsid w:val="00E843CE"/>
    <w:rsid w:val="00E8469D"/>
    <w:rsid w:val="00E87128"/>
    <w:rsid w:val="00E91B83"/>
    <w:rsid w:val="00EA681D"/>
    <w:rsid w:val="00EB4F7C"/>
    <w:rsid w:val="00EB7DE4"/>
    <w:rsid w:val="00EC07CE"/>
    <w:rsid w:val="00EC2B02"/>
    <w:rsid w:val="00EC6108"/>
    <w:rsid w:val="00ED2383"/>
    <w:rsid w:val="00ED700A"/>
    <w:rsid w:val="00EE5F5F"/>
    <w:rsid w:val="00EE6A98"/>
    <w:rsid w:val="00EE716E"/>
    <w:rsid w:val="00EF48AC"/>
    <w:rsid w:val="00F012C5"/>
    <w:rsid w:val="00F03E76"/>
    <w:rsid w:val="00F1008A"/>
    <w:rsid w:val="00F10556"/>
    <w:rsid w:val="00F141C6"/>
    <w:rsid w:val="00F15851"/>
    <w:rsid w:val="00F26788"/>
    <w:rsid w:val="00F3268A"/>
    <w:rsid w:val="00F32D17"/>
    <w:rsid w:val="00F4131B"/>
    <w:rsid w:val="00F43B08"/>
    <w:rsid w:val="00F46CC0"/>
    <w:rsid w:val="00F5392C"/>
    <w:rsid w:val="00F56DA8"/>
    <w:rsid w:val="00F57AEB"/>
    <w:rsid w:val="00F60F82"/>
    <w:rsid w:val="00F7245B"/>
    <w:rsid w:val="00F74B34"/>
    <w:rsid w:val="00F84262"/>
    <w:rsid w:val="00F8502F"/>
    <w:rsid w:val="00F867EC"/>
    <w:rsid w:val="00F871CE"/>
    <w:rsid w:val="00F9310C"/>
    <w:rsid w:val="00F9540B"/>
    <w:rsid w:val="00FA44B8"/>
    <w:rsid w:val="00FB0D66"/>
    <w:rsid w:val="00FB2E0C"/>
    <w:rsid w:val="00FC1822"/>
    <w:rsid w:val="00FC3326"/>
    <w:rsid w:val="00FD7170"/>
    <w:rsid w:val="00FE22A2"/>
    <w:rsid w:val="00FE2D6E"/>
    <w:rsid w:val="00FE347C"/>
    <w:rsid w:val="00FE3B54"/>
    <w:rsid w:val="00FE3BB9"/>
    <w:rsid w:val="00FF055F"/>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4796A-9579-4421-83D4-9C173650E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2026-01-30T23:06:00Z</dcterms:created>
  <dcterms:modified xsi:type="dcterms:W3CDTF">2026-01-30T23:06:00Z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